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5965C">
      <w:pPr>
        <w:jc w:val="left"/>
        <w:rPr>
          <w:rFonts w:hint="eastAsia" w:ascii="宋体" w:hAnsi="宋体" w:eastAsia="宋体" w:cs="宋体"/>
          <w:color w:val="252525"/>
          <w:sz w:val="28"/>
          <w:szCs w:val="32"/>
          <w:shd w:val="clear" w:color="auto" w:fill="FFFFFF"/>
        </w:rPr>
      </w:pPr>
      <w:r>
        <w:rPr>
          <w:rFonts w:hint="eastAsia" w:ascii="宋体" w:hAnsi="宋体" w:eastAsia="宋体" w:cs="宋体"/>
          <w:color w:val="252525"/>
          <w:sz w:val="28"/>
          <w:szCs w:val="32"/>
          <w:shd w:val="clear" w:color="auto" w:fill="FFFFFF"/>
        </w:rPr>
        <w:t>附件</w:t>
      </w:r>
    </w:p>
    <w:p w14:paraId="0AC64B05">
      <w:pPr>
        <w:jc w:val="center"/>
        <w:rPr>
          <w:b/>
          <w:bCs/>
          <w:sz w:val="32"/>
          <w:szCs w:val="40"/>
        </w:rPr>
      </w:pPr>
      <w:r>
        <w:rPr>
          <w:rFonts w:hint="eastAsia"/>
          <w:b/>
          <w:bCs/>
          <w:sz w:val="32"/>
          <w:szCs w:val="40"/>
          <w:lang w:val="en-US" w:eastAsia="zh-CN"/>
        </w:rPr>
        <w:t>中医科氛围提升（标识软装）项目评分</w:t>
      </w:r>
      <w:r>
        <w:rPr>
          <w:rFonts w:hint="eastAsia"/>
          <w:b/>
          <w:bCs/>
          <w:sz w:val="32"/>
          <w:szCs w:val="40"/>
        </w:rPr>
        <w:t>标准</w:t>
      </w:r>
    </w:p>
    <w:p w14:paraId="17A58EEA">
      <w:pPr>
        <w:spacing w:line="400" w:lineRule="exact"/>
        <w:ind w:firstLine="480" w:firstLineChars="200"/>
        <w:rPr>
          <w:rFonts w:hint="eastAsia" w:ascii="宋体" w:hAnsi="宋体" w:cs="Arial" w:eastAsiaTheme="minorEastAsia"/>
          <w:sz w:val="24"/>
          <w:lang w:val="en-US" w:eastAsia="zh-CN"/>
        </w:rPr>
      </w:pPr>
      <w:r>
        <w:rPr>
          <w:rFonts w:hint="eastAsia" w:ascii="宋体" w:hAnsi="宋体" w:cs="Arial"/>
          <w:sz w:val="24"/>
        </w:rPr>
        <w:t>本次评标方法采用综合评分法。首先按照评标程序的规定对各投标人的资格性以及符合</w:t>
      </w:r>
      <w:r>
        <w:rPr>
          <w:rFonts w:hint="eastAsia" w:ascii="宋体" w:hAnsi="宋体" w:cs="Arial"/>
          <w:sz w:val="24"/>
          <w:lang w:eastAsia="zh-CN"/>
        </w:rPr>
        <w:t>性作出</w:t>
      </w:r>
      <w:r>
        <w:rPr>
          <w:rFonts w:hint="eastAsia" w:ascii="宋体" w:hAnsi="宋体" w:cs="Arial"/>
          <w:sz w:val="24"/>
        </w:rPr>
        <w:t>评审，只有资格性检查和符合性检查合格的投标文件才能进入综合评分。评标以评分的方式进行，招标人将选择综合评价最好的投标人中标，不保证最低报价中标。</w:t>
      </w:r>
    </w:p>
    <w:p w14:paraId="2243EC7F">
      <w:pPr>
        <w:numPr>
          <w:ilvl w:val="0"/>
          <w:numId w:val="1"/>
        </w:numPr>
        <w:spacing w:line="400" w:lineRule="exact"/>
        <w:ind w:firstLine="480" w:firstLineChars="200"/>
        <w:rPr>
          <w:rFonts w:hint="eastAsia" w:ascii="宋体" w:hAnsi="宋体" w:eastAsia="宋体" w:cs="宋体"/>
          <w:sz w:val="24"/>
        </w:rPr>
      </w:pPr>
      <w:r>
        <w:rPr>
          <w:rFonts w:hint="eastAsia" w:ascii="宋体" w:hAnsi="宋体" w:eastAsia="宋体" w:cs="宋体"/>
          <w:sz w:val="24"/>
        </w:rPr>
        <w:t>本招标采用综合评标价法进行评标，综合得分</w:t>
      </w:r>
      <w:r>
        <w:rPr>
          <w:rFonts w:hint="eastAsia" w:ascii="宋体" w:hAnsi="宋体" w:eastAsia="宋体" w:cs="宋体"/>
          <w:sz w:val="24"/>
          <w:lang w:val="en-US" w:eastAsia="zh-CN"/>
        </w:rPr>
        <w:t>=</w:t>
      </w:r>
      <w:r>
        <w:rPr>
          <w:rFonts w:hint="eastAsia" w:ascii="宋体" w:hAnsi="宋体" w:eastAsia="宋体" w:cs="宋体"/>
          <w:sz w:val="24"/>
        </w:rPr>
        <w:t>投标报价得分+商务得分+技术得分，实行百分制评分，分为价格、商务、技术三大因素。其中价格部分满分2</w:t>
      </w:r>
      <w:r>
        <w:rPr>
          <w:rFonts w:hint="eastAsia" w:ascii="宋体" w:hAnsi="宋体" w:eastAsia="宋体" w:cs="宋体"/>
          <w:sz w:val="24"/>
          <w:lang w:val="en-US" w:eastAsia="zh-CN"/>
        </w:rPr>
        <w:t>5</w:t>
      </w:r>
      <w:r>
        <w:rPr>
          <w:rFonts w:hint="eastAsia" w:ascii="宋体" w:hAnsi="宋体" w:eastAsia="宋体" w:cs="宋体"/>
          <w:sz w:val="24"/>
        </w:rPr>
        <w:t>分；商务部分满分20分；技术部分满分</w:t>
      </w:r>
      <w:r>
        <w:rPr>
          <w:rFonts w:hint="eastAsia" w:ascii="宋体" w:hAnsi="宋体" w:eastAsia="宋体" w:cs="宋体"/>
          <w:sz w:val="24"/>
          <w:lang w:val="en-US" w:eastAsia="zh-CN"/>
        </w:rPr>
        <w:t>55</w:t>
      </w:r>
      <w:r>
        <w:rPr>
          <w:rFonts w:hint="eastAsia" w:ascii="宋体" w:hAnsi="宋体" w:eastAsia="宋体" w:cs="宋体"/>
          <w:sz w:val="24"/>
        </w:rPr>
        <w:t>分，分值四舍五入保留小数点后两位。</w:t>
      </w:r>
    </w:p>
    <w:p w14:paraId="7A837E6A">
      <w:pPr>
        <w:numPr>
          <w:ilvl w:val="0"/>
          <w:numId w:val="1"/>
        </w:numPr>
        <w:spacing w:line="400" w:lineRule="exact"/>
        <w:ind w:firstLine="480" w:firstLineChars="200"/>
        <w:rPr>
          <w:rFonts w:hint="eastAsia" w:ascii="宋体" w:hAnsi="宋体" w:eastAsia="宋体" w:cs="宋体"/>
          <w:sz w:val="24"/>
        </w:rPr>
      </w:pPr>
      <w:r>
        <w:rPr>
          <w:rFonts w:hint="eastAsia" w:ascii="宋体" w:hAnsi="宋体" w:eastAsia="宋体" w:cs="宋体"/>
          <w:sz w:val="24"/>
        </w:rPr>
        <w:t>为确保评审效率及公平性，各投标供应商须严格按照</w:t>
      </w:r>
      <w:r>
        <w:rPr>
          <w:rFonts w:hint="eastAsia" w:ascii="宋体" w:hAnsi="宋体" w:eastAsia="宋体" w:cs="宋体"/>
          <w:sz w:val="24"/>
          <w:lang w:val="en-US" w:eastAsia="zh-CN"/>
        </w:rPr>
        <w:t>下表</w:t>
      </w:r>
      <w:r>
        <w:rPr>
          <w:rFonts w:hint="eastAsia" w:ascii="宋体" w:hAnsi="宋体" w:eastAsia="宋体" w:cs="宋体"/>
          <w:sz w:val="24"/>
        </w:rPr>
        <w:t>评分条款顺序编制投标文件，具体要求如下：</w:t>
      </w:r>
    </w:p>
    <w:p w14:paraId="147FE64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1</w:t>
      </w:r>
      <w:r>
        <w:rPr>
          <w:rFonts w:hint="eastAsia" w:ascii="宋体" w:hAnsi="宋体" w:eastAsia="宋体" w:cs="宋体"/>
          <w:sz w:val="24"/>
          <w:lang w:eastAsia="zh-CN"/>
        </w:rPr>
        <w:t>）</w:t>
      </w:r>
      <w:r>
        <w:rPr>
          <w:rFonts w:hint="eastAsia" w:ascii="宋体" w:hAnsi="宋体" w:eastAsia="宋体" w:cs="宋体"/>
          <w:sz w:val="24"/>
        </w:rPr>
        <w:t>结构对应性：</w:t>
      </w:r>
    </w:p>
    <w:p w14:paraId="1D3D34A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rPr>
      </w:pPr>
      <w:r>
        <w:rPr>
          <w:rFonts w:hint="eastAsia" w:ascii="宋体" w:hAnsi="宋体" w:eastAsia="宋体" w:cs="宋体"/>
          <w:sz w:val="24"/>
        </w:rPr>
        <w:t>标书章节必须与评分标准的</w:t>
      </w:r>
      <w:r>
        <w:rPr>
          <w:rFonts w:hint="eastAsia" w:ascii="宋体" w:hAnsi="宋体" w:eastAsia="宋体" w:cs="宋体"/>
          <w:sz w:val="24"/>
          <w:lang w:eastAsia="zh-CN"/>
        </w:rPr>
        <w:t>“</w:t>
      </w:r>
      <w:r>
        <w:rPr>
          <w:rFonts w:hint="eastAsia" w:ascii="宋体" w:hAnsi="宋体" w:eastAsia="宋体" w:cs="宋体"/>
          <w:sz w:val="24"/>
        </w:rPr>
        <w:t>类别—计分因素—分值</w:t>
      </w:r>
      <w:r>
        <w:rPr>
          <w:rFonts w:hint="eastAsia" w:ascii="宋体" w:hAnsi="宋体" w:eastAsia="宋体" w:cs="宋体"/>
          <w:sz w:val="24"/>
          <w:lang w:eastAsia="zh-CN"/>
        </w:rPr>
        <w:t>”</w:t>
      </w:r>
      <w:r>
        <w:rPr>
          <w:rFonts w:hint="eastAsia" w:ascii="宋体" w:hAnsi="宋体" w:eastAsia="宋体" w:cs="宋体"/>
          <w:sz w:val="24"/>
        </w:rPr>
        <w:t>层级逐一对应（例如：技术部分→管理人员配置→5分）。每个评分条款应独立成章，标题明确标注对应评分项的编号及名称。</w:t>
      </w:r>
    </w:p>
    <w:p w14:paraId="414E622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lang w:eastAsia="zh-CN"/>
        </w:rPr>
      </w:pPr>
      <w:r>
        <w:rPr>
          <w:rFonts w:hint="eastAsia" w:ascii="宋体" w:hAnsi="宋体" w:eastAsia="宋体" w:cs="宋体"/>
          <w:sz w:val="24"/>
          <w:lang w:eastAsia="zh-CN"/>
        </w:rPr>
        <w:t>（</w:t>
      </w:r>
      <w:r>
        <w:rPr>
          <w:rFonts w:hint="eastAsia" w:ascii="宋体" w:hAnsi="宋体" w:eastAsia="宋体" w:cs="宋体"/>
          <w:sz w:val="24"/>
          <w:lang w:val="en-US" w:eastAsia="zh-CN"/>
        </w:rPr>
        <w:t>2</w:t>
      </w:r>
      <w:r>
        <w:rPr>
          <w:rFonts w:hint="eastAsia" w:ascii="宋体" w:hAnsi="宋体" w:eastAsia="宋体" w:cs="宋体"/>
          <w:sz w:val="24"/>
          <w:lang w:eastAsia="zh-CN"/>
        </w:rPr>
        <w:t>）</w:t>
      </w:r>
      <w:r>
        <w:rPr>
          <w:rFonts w:hint="eastAsia" w:ascii="宋体" w:hAnsi="宋体" w:eastAsia="宋体" w:cs="宋体"/>
          <w:sz w:val="24"/>
        </w:rPr>
        <w:t>页码指引</w:t>
      </w:r>
      <w:r>
        <w:rPr>
          <w:rFonts w:hint="eastAsia" w:ascii="宋体" w:hAnsi="宋体" w:eastAsia="宋体" w:cs="宋体"/>
          <w:sz w:val="24"/>
          <w:lang w:eastAsia="zh-CN"/>
        </w:rPr>
        <w:t>：</w:t>
      </w:r>
      <w:r>
        <w:rPr>
          <w:rFonts w:hint="eastAsia" w:ascii="宋体" w:hAnsi="宋体" w:eastAsia="宋体" w:cs="宋体"/>
          <w:sz w:val="24"/>
        </w:rPr>
        <w:t>在标书目录中清晰标注每个评分条款对应的起始页码；在每个评分条款章节的首页右上角显著位置注明</w:t>
      </w:r>
      <w:r>
        <w:rPr>
          <w:rFonts w:hint="eastAsia" w:ascii="宋体" w:hAnsi="宋体" w:eastAsia="宋体" w:cs="宋体"/>
          <w:sz w:val="24"/>
          <w:lang w:eastAsia="zh-CN"/>
        </w:rPr>
        <w:t>。</w:t>
      </w:r>
    </w:p>
    <w:p w14:paraId="5326562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3</w:t>
      </w:r>
      <w:r>
        <w:rPr>
          <w:rFonts w:hint="eastAsia" w:ascii="宋体" w:hAnsi="宋体" w:eastAsia="宋体" w:cs="宋体"/>
          <w:sz w:val="24"/>
          <w:lang w:eastAsia="zh-CN"/>
        </w:rPr>
        <w:t>）</w:t>
      </w:r>
      <w:r>
        <w:rPr>
          <w:rFonts w:hint="eastAsia" w:ascii="宋体" w:hAnsi="宋体" w:eastAsia="宋体" w:cs="宋体"/>
          <w:sz w:val="24"/>
        </w:rPr>
        <w:t>证明材料定位：所有响应评分条款的证明文件（如证书、合同、方案等）须直接附在该条款章节内，禁止集中放置。若同一文件涉及多条款，需在对应章节重复引用并标注“详见XX页”。</w:t>
      </w:r>
    </w:p>
    <w:p w14:paraId="15A41AA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4</w:t>
      </w:r>
      <w:r>
        <w:rPr>
          <w:rFonts w:hint="eastAsia" w:ascii="宋体" w:hAnsi="宋体" w:eastAsia="宋体" w:cs="宋体"/>
          <w:sz w:val="24"/>
          <w:lang w:eastAsia="zh-CN"/>
        </w:rPr>
        <w:t>）</w:t>
      </w:r>
      <w:r>
        <w:rPr>
          <w:rFonts w:hint="eastAsia" w:ascii="宋体" w:hAnsi="宋体" w:eastAsia="宋体" w:cs="宋体"/>
          <w:sz w:val="24"/>
        </w:rPr>
        <w:t>未响应标注：若某项评分条款不适用或无法响应，仍须保留章节标题并注明“本条不响应”及说明原因，避免评委遗漏。</w:t>
      </w:r>
    </w:p>
    <w:p w14:paraId="49BD172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5</w:t>
      </w:r>
      <w:r>
        <w:rPr>
          <w:rFonts w:hint="eastAsia" w:ascii="宋体" w:hAnsi="宋体" w:eastAsia="宋体" w:cs="宋体"/>
          <w:sz w:val="24"/>
          <w:lang w:eastAsia="zh-CN"/>
        </w:rPr>
        <w:t>）</w:t>
      </w:r>
      <w:r>
        <w:rPr>
          <w:rFonts w:hint="eastAsia" w:ascii="宋体" w:hAnsi="宋体" w:eastAsia="宋体" w:cs="宋体"/>
          <w:sz w:val="24"/>
        </w:rPr>
        <w:t>未按上述要求编制导致评审失分的，责任由投标人承担。</w:t>
      </w:r>
    </w:p>
    <w:tbl>
      <w:tblPr>
        <w:tblStyle w:val="3"/>
        <w:tblW w:w="5000" w:type="pct"/>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Layout w:type="autofit"/>
        <w:tblCellMar>
          <w:top w:w="15" w:type="dxa"/>
          <w:left w:w="15" w:type="dxa"/>
          <w:bottom w:w="15" w:type="dxa"/>
          <w:right w:w="15" w:type="dxa"/>
        </w:tblCellMar>
      </w:tblPr>
      <w:tblGrid>
        <w:gridCol w:w="832"/>
        <w:gridCol w:w="1261"/>
        <w:gridCol w:w="731"/>
        <w:gridCol w:w="6265"/>
        <w:gridCol w:w="789"/>
      </w:tblGrid>
      <w:tr w14:paraId="066D691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blHeader/>
        </w:trPr>
        <w:tc>
          <w:tcPr>
            <w:tcW w:w="421" w:type="pct"/>
            <w:tcBorders>
              <w:tl2br w:val="nil"/>
              <w:tr2bl w:val="nil"/>
            </w:tcBorders>
            <w:shd w:val="clear" w:color="auto" w:fill="auto"/>
            <w:tcMar>
              <w:top w:w="120" w:type="dxa"/>
              <w:left w:w="120" w:type="dxa"/>
              <w:bottom w:w="120" w:type="dxa"/>
              <w:right w:w="120" w:type="dxa"/>
            </w:tcMar>
            <w:vAlign w:val="center"/>
          </w:tcPr>
          <w:p w14:paraId="47C42688">
            <w:pPr>
              <w:keepNext w:val="0"/>
              <w:keepLines w:val="0"/>
              <w:widowControl/>
              <w:suppressLineNumbers w:val="0"/>
              <w:jc w:val="center"/>
              <w:rPr>
                <w:b/>
                <w:bCs/>
              </w:rPr>
            </w:pPr>
            <w:r>
              <w:rPr>
                <w:rFonts w:ascii="宋体" w:hAnsi="宋体" w:eastAsia="宋体" w:cs="宋体"/>
                <w:b/>
                <w:bCs/>
                <w:kern w:val="0"/>
                <w:sz w:val="24"/>
                <w:szCs w:val="24"/>
                <w:lang w:val="en-US" w:eastAsia="zh-CN" w:bidi="ar"/>
              </w:rPr>
              <w:t>类别</w:t>
            </w:r>
          </w:p>
        </w:tc>
        <w:tc>
          <w:tcPr>
            <w:tcW w:w="638" w:type="pct"/>
            <w:tcBorders>
              <w:tl2br w:val="nil"/>
              <w:tr2bl w:val="nil"/>
            </w:tcBorders>
            <w:shd w:val="clear" w:color="auto" w:fill="auto"/>
            <w:tcMar>
              <w:top w:w="120" w:type="dxa"/>
              <w:left w:w="120" w:type="dxa"/>
              <w:bottom w:w="120" w:type="dxa"/>
              <w:right w:w="120" w:type="dxa"/>
            </w:tcMar>
            <w:vAlign w:val="center"/>
          </w:tcPr>
          <w:p w14:paraId="7D7E41E2">
            <w:pPr>
              <w:keepNext w:val="0"/>
              <w:keepLines w:val="0"/>
              <w:widowControl/>
              <w:suppressLineNumbers w:val="0"/>
              <w:jc w:val="center"/>
              <w:rPr>
                <w:b/>
                <w:bCs/>
              </w:rPr>
            </w:pPr>
            <w:r>
              <w:rPr>
                <w:rFonts w:ascii="宋体" w:hAnsi="宋体" w:eastAsia="宋体" w:cs="宋体"/>
                <w:b/>
                <w:bCs/>
                <w:kern w:val="0"/>
                <w:sz w:val="24"/>
                <w:szCs w:val="24"/>
                <w:lang w:val="en-US" w:eastAsia="zh-CN" w:bidi="ar"/>
              </w:rPr>
              <w:t>计分因素</w:t>
            </w:r>
          </w:p>
        </w:tc>
        <w:tc>
          <w:tcPr>
            <w:tcW w:w="370" w:type="pct"/>
            <w:tcBorders>
              <w:tl2br w:val="nil"/>
              <w:tr2bl w:val="nil"/>
            </w:tcBorders>
            <w:shd w:val="clear" w:color="auto" w:fill="auto"/>
            <w:tcMar>
              <w:top w:w="120" w:type="dxa"/>
              <w:left w:w="120" w:type="dxa"/>
              <w:bottom w:w="120" w:type="dxa"/>
              <w:right w:w="120" w:type="dxa"/>
            </w:tcMar>
            <w:vAlign w:val="center"/>
          </w:tcPr>
          <w:p w14:paraId="29B639EC">
            <w:pPr>
              <w:keepNext w:val="0"/>
              <w:keepLines w:val="0"/>
              <w:widowControl/>
              <w:suppressLineNumbers w:val="0"/>
              <w:jc w:val="center"/>
              <w:rPr>
                <w:b/>
                <w:bCs/>
              </w:rPr>
            </w:pPr>
            <w:r>
              <w:rPr>
                <w:rFonts w:ascii="宋体" w:hAnsi="宋体" w:eastAsia="宋体" w:cs="宋体"/>
                <w:b/>
                <w:bCs/>
                <w:kern w:val="0"/>
                <w:sz w:val="24"/>
                <w:szCs w:val="24"/>
                <w:lang w:val="en-US" w:eastAsia="zh-CN" w:bidi="ar"/>
              </w:rPr>
              <w:t>分值</w:t>
            </w:r>
          </w:p>
        </w:tc>
        <w:tc>
          <w:tcPr>
            <w:tcW w:w="3170" w:type="pct"/>
            <w:tcBorders>
              <w:tl2br w:val="nil"/>
              <w:tr2bl w:val="nil"/>
            </w:tcBorders>
            <w:shd w:val="clear" w:color="auto" w:fill="auto"/>
            <w:tcMar>
              <w:top w:w="120" w:type="dxa"/>
              <w:left w:w="120" w:type="dxa"/>
              <w:bottom w:w="120" w:type="dxa"/>
              <w:right w:w="120" w:type="dxa"/>
            </w:tcMar>
            <w:vAlign w:val="center"/>
          </w:tcPr>
          <w:p w14:paraId="5E725540">
            <w:pPr>
              <w:keepNext w:val="0"/>
              <w:keepLines w:val="0"/>
              <w:widowControl/>
              <w:suppressLineNumbers w:val="0"/>
              <w:jc w:val="left"/>
              <w:rPr>
                <w:b/>
                <w:bCs/>
              </w:rPr>
            </w:pPr>
            <w:r>
              <w:rPr>
                <w:rFonts w:ascii="宋体" w:hAnsi="宋体" w:eastAsia="宋体" w:cs="宋体"/>
                <w:b/>
                <w:bCs/>
                <w:kern w:val="0"/>
                <w:sz w:val="24"/>
                <w:szCs w:val="24"/>
                <w:lang w:val="en-US" w:eastAsia="zh-CN" w:bidi="ar"/>
              </w:rPr>
              <w:t>评分标准</w:t>
            </w:r>
          </w:p>
        </w:tc>
        <w:tc>
          <w:tcPr>
            <w:tcW w:w="399" w:type="pct"/>
            <w:tcBorders>
              <w:tl2br w:val="nil"/>
              <w:tr2bl w:val="nil"/>
            </w:tcBorders>
            <w:shd w:val="clear" w:color="auto" w:fill="auto"/>
            <w:tcMar>
              <w:top w:w="120" w:type="dxa"/>
              <w:left w:w="120" w:type="dxa"/>
              <w:bottom w:w="120" w:type="dxa"/>
              <w:right w:w="120" w:type="dxa"/>
            </w:tcMar>
            <w:vAlign w:val="center"/>
          </w:tcPr>
          <w:p w14:paraId="292533F9">
            <w:pPr>
              <w:keepNext w:val="0"/>
              <w:keepLines w:val="0"/>
              <w:widowControl/>
              <w:suppressLineNumbers w:val="0"/>
              <w:jc w:val="left"/>
              <w:rPr>
                <w:b/>
                <w:bCs/>
              </w:rPr>
            </w:pPr>
            <w:r>
              <w:rPr>
                <w:rFonts w:ascii="宋体" w:hAnsi="宋体" w:eastAsia="宋体" w:cs="宋体"/>
                <w:b/>
                <w:bCs/>
                <w:kern w:val="0"/>
                <w:sz w:val="24"/>
                <w:szCs w:val="24"/>
                <w:lang w:val="en-US" w:eastAsia="zh-CN" w:bidi="ar"/>
              </w:rPr>
              <w:t>评分</w:t>
            </w:r>
          </w:p>
        </w:tc>
      </w:tr>
      <w:tr w14:paraId="3DA854A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421" w:type="pct"/>
            <w:tcBorders>
              <w:tl2br w:val="nil"/>
              <w:tr2bl w:val="nil"/>
            </w:tcBorders>
            <w:shd w:val="clear" w:color="auto" w:fill="auto"/>
            <w:tcMar>
              <w:top w:w="120" w:type="dxa"/>
              <w:left w:w="120" w:type="dxa"/>
              <w:bottom w:w="120" w:type="dxa"/>
              <w:right w:w="120" w:type="dxa"/>
            </w:tcMar>
            <w:vAlign w:val="center"/>
          </w:tcPr>
          <w:p w14:paraId="1A67F9C3">
            <w:pPr>
              <w:keepNext w:val="0"/>
              <w:keepLines w:val="0"/>
              <w:widowControl/>
              <w:suppressLineNumbers w:val="0"/>
              <w:jc w:val="center"/>
            </w:pPr>
            <w:r>
              <w:rPr>
                <w:rFonts w:ascii="宋体" w:hAnsi="宋体" w:eastAsia="宋体" w:cs="宋体"/>
                <w:kern w:val="0"/>
                <w:sz w:val="24"/>
                <w:szCs w:val="24"/>
                <w:lang w:val="en-US" w:eastAsia="zh-CN" w:bidi="ar"/>
              </w:rPr>
              <w:t>总分</w:t>
            </w:r>
          </w:p>
        </w:tc>
        <w:tc>
          <w:tcPr>
            <w:tcW w:w="638" w:type="pct"/>
            <w:tcBorders>
              <w:tl2br w:val="nil"/>
              <w:tr2bl w:val="nil"/>
            </w:tcBorders>
            <w:shd w:val="clear" w:color="auto" w:fill="auto"/>
            <w:tcMar>
              <w:top w:w="120" w:type="dxa"/>
              <w:left w:w="120" w:type="dxa"/>
              <w:bottom w:w="120" w:type="dxa"/>
              <w:right w:w="120" w:type="dxa"/>
            </w:tcMar>
            <w:vAlign w:val="center"/>
          </w:tcPr>
          <w:p w14:paraId="32390956">
            <w:pPr>
              <w:keepNext w:val="0"/>
              <w:keepLines w:val="0"/>
              <w:widowControl/>
              <w:suppressLineNumbers w:val="0"/>
              <w:jc w:val="center"/>
            </w:pPr>
            <w:r>
              <w:rPr>
                <w:rFonts w:ascii="宋体" w:hAnsi="宋体" w:eastAsia="宋体" w:cs="宋体"/>
                <w:kern w:val="0"/>
                <w:sz w:val="24"/>
                <w:szCs w:val="24"/>
                <w:lang w:val="en-US" w:eastAsia="zh-CN" w:bidi="ar"/>
              </w:rPr>
              <w:t>分值构成</w:t>
            </w:r>
          </w:p>
        </w:tc>
        <w:tc>
          <w:tcPr>
            <w:tcW w:w="370" w:type="pct"/>
            <w:tcBorders>
              <w:tl2br w:val="nil"/>
              <w:tr2bl w:val="nil"/>
            </w:tcBorders>
            <w:shd w:val="clear" w:color="auto" w:fill="auto"/>
            <w:tcMar>
              <w:top w:w="120" w:type="dxa"/>
              <w:left w:w="120" w:type="dxa"/>
              <w:bottom w:w="120" w:type="dxa"/>
              <w:right w:w="120" w:type="dxa"/>
            </w:tcMar>
            <w:vAlign w:val="center"/>
          </w:tcPr>
          <w:p w14:paraId="4B62C602">
            <w:pPr>
              <w:keepNext w:val="0"/>
              <w:keepLines w:val="0"/>
              <w:widowControl/>
              <w:suppressLineNumbers w:val="0"/>
              <w:jc w:val="center"/>
            </w:pPr>
            <w:r>
              <w:rPr>
                <w:rFonts w:ascii="宋体" w:hAnsi="宋体" w:eastAsia="宋体" w:cs="宋体"/>
                <w:kern w:val="0"/>
                <w:sz w:val="24"/>
                <w:szCs w:val="24"/>
                <w:lang w:val="en-US" w:eastAsia="zh-CN" w:bidi="ar"/>
              </w:rPr>
              <w:t>100</w:t>
            </w:r>
          </w:p>
        </w:tc>
        <w:tc>
          <w:tcPr>
            <w:tcW w:w="3170" w:type="pct"/>
            <w:tcBorders>
              <w:tl2br w:val="nil"/>
              <w:tr2bl w:val="nil"/>
            </w:tcBorders>
            <w:shd w:val="clear" w:color="auto" w:fill="auto"/>
            <w:tcMar>
              <w:top w:w="120" w:type="dxa"/>
              <w:left w:w="120" w:type="dxa"/>
              <w:bottom w:w="120" w:type="dxa"/>
              <w:right w:w="120" w:type="dxa"/>
            </w:tcMar>
            <w:vAlign w:val="center"/>
          </w:tcPr>
          <w:p w14:paraId="089DB704">
            <w:pPr>
              <w:keepNext w:val="0"/>
              <w:keepLines w:val="0"/>
              <w:widowControl/>
              <w:suppressLineNumbers w:val="0"/>
              <w:jc w:val="left"/>
            </w:pPr>
            <w:r>
              <w:rPr>
                <w:rFonts w:ascii="宋体" w:hAnsi="宋体" w:eastAsia="宋体" w:cs="宋体"/>
                <w:kern w:val="0"/>
                <w:sz w:val="24"/>
                <w:szCs w:val="24"/>
                <w:lang w:val="en-US" w:eastAsia="zh-CN" w:bidi="ar"/>
              </w:rPr>
              <w:t>报价部分：25 分商务部分：20 分技术部分：55 分</w:t>
            </w:r>
          </w:p>
        </w:tc>
        <w:tc>
          <w:tcPr>
            <w:tcW w:w="399" w:type="pct"/>
            <w:tcBorders>
              <w:tl2br w:val="nil"/>
              <w:tr2bl w:val="nil"/>
            </w:tcBorders>
            <w:shd w:val="clear" w:color="auto" w:fill="auto"/>
            <w:tcMar>
              <w:top w:w="120" w:type="dxa"/>
              <w:left w:w="120" w:type="dxa"/>
              <w:bottom w:w="120" w:type="dxa"/>
              <w:right w:w="120" w:type="dxa"/>
            </w:tcMar>
            <w:vAlign w:val="center"/>
          </w:tcPr>
          <w:p w14:paraId="54CA3A9B">
            <w:pPr>
              <w:jc w:val="left"/>
              <w:rPr>
                <w:rFonts w:hint="eastAsia" w:ascii="宋体"/>
                <w:sz w:val="24"/>
                <w:szCs w:val="24"/>
              </w:rPr>
            </w:pPr>
          </w:p>
        </w:tc>
      </w:tr>
      <w:tr w14:paraId="7486B2EC">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421" w:type="pct"/>
            <w:vMerge w:val="restart"/>
            <w:tcBorders>
              <w:tl2br w:val="nil"/>
              <w:tr2bl w:val="nil"/>
            </w:tcBorders>
            <w:shd w:val="clear" w:color="auto" w:fill="auto"/>
            <w:tcMar>
              <w:top w:w="120" w:type="dxa"/>
              <w:left w:w="120" w:type="dxa"/>
              <w:bottom w:w="120" w:type="dxa"/>
              <w:right w:w="120" w:type="dxa"/>
            </w:tcMar>
            <w:vAlign w:val="center"/>
          </w:tcPr>
          <w:p w14:paraId="5AC370BA">
            <w:pPr>
              <w:keepNext w:val="0"/>
              <w:keepLines w:val="0"/>
              <w:widowControl/>
              <w:suppressLineNumbers w:val="0"/>
              <w:jc w:val="center"/>
            </w:pPr>
            <w:r>
              <w:rPr>
                <w:rFonts w:ascii="宋体" w:hAnsi="宋体" w:eastAsia="宋体" w:cs="宋体"/>
                <w:kern w:val="0"/>
                <w:sz w:val="24"/>
                <w:szCs w:val="24"/>
                <w:lang w:val="en-US" w:eastAsia="zh-CN" w:bidi="ar"/>
              </w:rPr>
              <w:t>技术部分 55分</w:t>
            </w:r>
          </w:p>
        </w:tc>
        <w:tc>
          <w:tcPr>
            <w:tcW w:w="638" w:type="pct"/>
            <w:tcBorders>
              <w:tl2br w:val="nil"/>
              <w:tr2bl w:val="nil"/>
            </w:tcBorders>
            <w:shd w:val="clear" w:color="auto" w:fill="auto"/>
            <w:tcMar>
              <w:top w:w="120" w:type="dxa"/>
              <w:left w:w="120" w:type="dxa"/>
              <w:bottom w:w="120" w:type="dxa"/>
              <w:right w:w="120" w:type="dxa"/>
            </w:tcMar>
            <w:vAlign w:val="center"/>
          </w:tcPr>
          <w:p w14:paraId="6692126D">
            <w:pPr>
              <w:keepNext w:val="0"/>
              <w:keepLines w:val="0"/>
              <w:widowControl/>
              <w:suppressLineNumbers w:val="0"/>
              <w:jc w:val="cente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项目</w:t>
            </w:r>
          </w:p>
          <w:p w14:paraId="21168839">
            <w:pPr>
              <w:keepNext w:val="0"/>
              <w:keepLines w:val="0"/>
              <w:widowControl/>
              <w:suppressLineNumbers w:val="0"/>
              <w:jc w:val="center"/>
            </w:pPr>
            <w:r>
              <w:rPr>
                <w:rFonts w:ascii="宋体" w:hAnsi="宋体" w:eastAsia="宋体" w:cs="宋体"/>
                <w:kern w:val="0"/>
                <w:sz w:val="24"/>
                <w:szCs w:val="24"/>
                <w:lang w:val="en-US" w:eastAsia="zh-CN" w:bidi="ar"/>
              </w:rPr>
              <w:t>负责人</w:t>
            </w:r>
          </w:p>
        </w:tc>
        <w:tc>
          <w:tcPr>
            <w:tcW w:w="370" w:type="pct"/>
            <w:tcBorders>
              <w:tl2br w:val="nil"/>
              <w:tr2bl w:val="nil"/>
            </w:tcBorders>
            <w:shd w:val="clear" w:color="auto" w:fill="auto"/>
            <w:tcMar>
              <w:top w:w="120" w:type="dxa"/>
              <w:left w:w="120" w:type="dxa"/>
              <w:bottom w:w="120" w:type="dxa"/>
              <w:right w:w="120" w:type="dxa"/>
            </w:tcMar>
            <w:vAlign w:val="center"/>
          </w:tcPr>
          <w:p w14:paraId="50959D9F">
            <w:pPr>
              <w:keepNext w:val="0"/>
              <w:keepLines w:val="0"/>
              <w:widowControl/>
              <w:suppressLineNumbers w:val="0"/>
              <w:jc w:val="center"/>
            </w:pPr>
            <w:r>
              <w:rPr>
                <w:rFonts w:ascii="宋体" w:hAnsi="宋体" w:eastAsia="宋体" w:cs="宋体"/>
                <w:kern w:val="0"/>
                <w:sz w:val="24"/>
                <w:szCs w:val="24"/>
                <w:lang w:val="en-US" w:eastAsia="zh-CN" w:bidi="ar"/>
              </w:rPr>
              <w:t>4</w:t>
            </w:r>
          </w:p>
        </w:tc>
        <w:tc>
          <w:tcPr>
            <w:tcW w:w="3170" w:type="pct"/>
            <w:tcBorders>
              <w:tl2br w:val="nil"/>
              <w:tr2bl w:val="nil"/>
            </w:tcBorders>
            <w:shd w:val="clear" w:color="auto" w:fill="auto"/>
            <w:tcMar>
              <w:top w:w="120" w:type="dxa"/>
              <w:left w:w="120" w:type="dxa"/>
              <w:bottom w:w="120" w:type="dxa"/>
              <w:right w:w="120" w:type="dxa"/>
            </w:tcMar>
            <w:vAlign w:val="center"/>
          </w:tcPr>
          <w:p w14:paraId="349F772B">
            <w:pPr>
              <w:keepNext w:val="0"/>
              <w:keepLines w:val="0"/>
              <w:widowControl/>
              <w:suppressLineNumbers w:val="0"/>
              <w:jc w:val="left"/>
            </w:pPr>
            <w:r>
              <w:rPr>
                <w:rFonts w:ascii="宋体" w:hAnsi="宋体" w:eastAsia="宋体" w:cs="宋体"/>
                <w:kern w:val="0"/>
                <w:sz w:val="24"/>
                <w:szCs w:val="24"/>
                <w:lang w:val="en-US" w:eastAsia="zh-CN" w:bidi="ar"/>
              </w:rPr>
              <w:t>针对本项目拟投入项目负责人、设计负责人（须为不同人员）：1. 项目负责人具备中级及以上室内装饰 / 环境艺术相关职称，得 4 分；2. 项目负责人具备初级相关职称，得 2 分；（须提供本企业连续 1 年社保证明及证书复印件，否则本项不得分）</w:t>
            </w:r>
          </w:p>
        </w:tc>
        <w:tc>
          <w:tcPr>
            <w:tcW w:w="399" w:type="pct"/>
            <w:tcBorders>
              <w:tl2br w:val="nil"/>
              <w:tr2bl w:val="nil"/>
            </w:tcBorders>
            <w:shd w:val="clear" w:color="auto" w:fill="auto"/>
            <w:tcMar>
              <w:top w:w="120" w:type="dxa"/>
              <w:left w:w="120" w:type="dxa"/>
              <w:bottom w:w="120" w:type="dxa"/>
              <w:right w:w="120" w:type="dxa"/>
            </w:tcMar>
            <w:vAlign w:val="center"/>
          </w:tcPr>
          <w:p w14:paraId="01D3FC14">
            <w:pPr>
              <w:jc w:val="left"/>
              <w:rPr>
                <w:rFonts w:hint="eastAsia" w:ascii="宋体"/>
                <w:sz w:val="24"/>
                <w:szCs w:val="24"/>
              </w:rPr>
            </w:pPr>
          </w:p>
        </w:tc>
      </w:tr>
      <w:tr w14:paraId="39E8439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04B915CA">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5B630953">
            <w:pPr>
              <w:keepNext w:val="0"/>
              <w:keepLines w:val="0"/>
              <w:widowControl/>
              <w:suppressLineNumbers w:val="0"/>
              <w:jc w:val="cente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设计</w:t>
            </w:r>
          </w:p>
          <w:p w14:paraId="67A55A2F">
            <w:pPr>
              <w:keepNext w:val="0"/>
              <w:keepLines w:val="0"/>
              <w:widowControl/>
              <w:suppressLineNumbers w:val="0"/>
              <w:jc w:val="center"/>
            </w:pPr>
            <w:r>
              <w:rPr>
                <w:rFonts w:ascii="宋体" w:hAnsi="宋体" w:eastAsia="宋体" w:cs="宋体"/>
                <w:kern w:val="0"/>
                <w:sz w:val="24"/>
                <w:szCs w:val="24"/>
                <w:lang w:val="en-US" w:eastAsia="zh-CN" w:bidi="ar"/>
              </w:rPr>
              <w:t>负责人</w:t>
            </w:r>
          </w:p>
        </w:tc>
        <w:tc>
          <w:tcPr>
            <w:tcW w:w="370" w:type="pct"/>
            <w:tcBorders>
              <w:tl2br w:val="nil"/>
              <w:tr2bl w:val="nil"/>
            </w:tcBorders>
            <w:shd w:val="clear" w:color="auto" w:fill="auto"/>
            <w:tcMar>
              <w:top w:w="120" w:type="dxa"/>
              <w:left w:w="120" w:type="dxa"/>
              <w:bottom w:w="120" w:type="dxa"/>
              <w:right w:w="120" w:type="dxa"/>
            </w:tcMar>
            <w:vAlign w:val="center"/>
          </w:tcPr>
          <w:p w14:paraId="1D9A44D3">
            <w:pPr>
              <w:keepNext w:val="0"/>
              <w:keepLines w:val="0"/>
              <w:widowControl/>
              <w:suppressLineNumbers w:val="0"/>
              <w:jc w:val="center"/>
            </w:pPr>
            <w:r>
              <w:rPr>
                <w:rFonts w:ascii="宋体" w:hAnsi="宋体" w:eastAsia="宋体" w:cs="宋体"/>
                <w:kern w:val="0"/>
                <w:sz w:val="24"/>
                <w:szCs w:val="24"/>
                <w:lang w:val="en-US" w:eastAsia="zh-CN" w:bidi="ar"/>
              </w:rPr>
              <w:t>4</w:t>
            </w:r>
          </w:p>
        </w:tc>
        <w:tc>
          <w:tcPr>
            <w:tcW w:w="3170" w:type="pct"/>
            <w:tcBorders>
              <w:tl2br w:val="nil"/>
              <w:tr2bl w:val="nil"/>
            </w:tcBorders>
            <w:shd w:val="clear" w:color="auto" w:fill="auto"/>
            <w:tcMar>
              <w:top w:w="120" w:type="dxa"/>
              <w:left w:w="120" w:type="dxa"/>
              <w:bottom w:w="120" w:type="dxa"/>
              <w:right w:w="120" w:type="dxa"/>
            </w:tcMar>
            <w:vAlign w:val="center"/>
          </w:tcPr>
          <w:p w14:paraId="3E1D00FE">
            <w:pPr>
              <w:keepNext w:val="0"/>
              <w:keepLines w:val="0"/>
              <w:widowControl/>
              <w:suppressLineNumbers w:val="0"/>
              <w:jc w:val="left"/>
            </w:pPr>
            <w:r>
              <w:rPr>
                <w:rFonts w:ascii="宋体" w:hAnsi="宋体" w:eastAsia="宋体" w:cs="宋体"/>
                <w:kern w:val="0"/>
                <w:sz w:val="24"/>
                <w:szCs w:val="24"/>
                <w:lang w:val="en-US" w:eastAsia="zh-CN" w:bidi="ar"/>
              </w:rPr>
              <w:t>1. 拟派设计负责人具备高级室内设计 / 环境艺术相关职称，得 4 分；2. 拟派设计负责人具备中级相关职称，得 2 分；（须提供本企业连续 1 年社保证明及证书复印件，否则本项不得分）</w:t>
            </w:r>
          </w:p>
        </w:tc>
        <w:tc>
          <w:tcPr>
            <w:tcW w:w="399" w:type="pct"/>
            <w:tcBorders>
              <w:tl2br w:val="nil"/>
              <w:tr2bl w:val="nil"/>
            </w:tcBorders>
            <w:shd w:val="clear" w:color="auto" w:fill="auto"/>
            <w:tcMar>
              <w:top w:w="120" w:type="dxa"/>
              <w:left w:w="120" w:type="dxa"/>
              <w:bottom w:w="120" w:type="dxa"/>
              <w:right w:w="120" w:type="dxa"/>
            </w:tcMar>
            <w:vAlign w:val="center"/>
          </w:tcPr>
          <w:p w14:paraId="027B0C36">
            <w:pPr>
              <w:jc w:val="left"/>
              <w:rPr>
                <w:rFonts w:hint="eastAsia" w:ascii="宋体"/>
                <w:sz w:val="24"/>
                <w:szCs w:val="24"/>
              </w:rPr>
            </w:pPr>
          </w:p>
        </w:tc>
      </w:tr>
      <w:tr w14:paraId="5F10784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107121D9">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7001E670">
            <w:pPr>
              <w:keepNext w:val="0"/>
              <w:keepLines w:val="0"/>
              <w:widowControl/>
              <w:suppressLineNumbers w:val="0"/>
              <w:jc w:val="center"/>
            </w:pPr>
            <w:r>
              <w:rPr>
                <w:rFonts w:ascii="宋体" w:hAnsi="宋体" w:eastAsia="宋体" w:cs="宋体"/>
                <w:kern w:val="0"/>
                <w:sz w:val="24"/>
                <w:szCs w:val="24"/>
                <w:lang w:val="en-US" w:eastAsia="zh-CN" w:bidi="ar"/>
              </w:rPr>
              <w:t>现场作业人员配置</w:t>
            </w:r>
          </w:p>
        </w:tc>
        <w:tc>
          <w:tcPr>
            <w:tcW w:w="370" w:type="pct"/>
            <w:tcBorders>
              <w:tl2br w:val="nil"/>
              <w:tr2bl w:val="nil"/>
            </w:tcBorders>
            <w:shd w:val="clear" w:color="auto" w:fill="auto"/>
            <w:tcMar>
              <w:top w:w="120" w:type="dxa"/>
              <w:left w:w="120" w:type="dxa"/>
              <w:bottom w:w="120" w:type="dxa"/>
              <w:right w:w="120" w:type="dxa"/>
            </w:tcMar>
            <w:vAlign w:val="center"/>
          </w:tcPr>
          <w:p w14:paraId="69AE83A5">
            <w:pPr>
              <w:keepNext w:val="0"/>
              <w:keepLines w:val="0"/>
              <w:widowControl/>
              <w:suppressLineNumbers w:val="0"/>
              <w:jc w:val="center"/>
            </w:pPr>
            <w:r>
              <w:rPr>
                <w:rFonts w:ascii="宋体" w:hAnsi="宋体" w:eastAsia="宋体" w:cs="宋体"/>
                <w:kern w:val="0"/>
                <w:sz w:val="24"/>
                <w:szCs w:val="24"/>
                <w:lang w:val="en-US" w:eastAsia="zh-CN" w:bidi="ar"/>
              </w:rPr>
              <w:t>6</w:t>
            </w:r>
          </w:p>
        </w:tc>
        <w:tc>
          <w:tcPr>
            <w:tcW w:w="3170" w:type="pct"/>
            <w:tcBorders>
              <w:tl2br w:val="nil"/>
              <w:tr2bl w:val="nil"/>
            </w:tcBorders>
            <w:shd w:val="clear" w:color="auto" w:fill="auto"/>
            <w:tcMar>
              <w:top w:w="120" w:type="dxa"/>
              <w:left w:w="120" w:type="dxa"/>
              <w:bottom w:w="120" w:type="dxa"/>
              <w:right w:w="120" w:type="dxa"/>
            </w:tcMar>
            <w:vAlign w:val="center"/>
          </w:tcPr>
          <w:p w14:paraId="33871E7D">
            <w:pPr>
              <w:keepNext w:val="0"/>
              <w:keepLines w:val="0"/>
              <w:widowControl/>
              <w:suppressLineNumbers w:val="0"/>
              <w:jc w:val="left"/>
            </w:pPr>
            <w:r>
              <w:rPr>
                <w:rFonts w:ascii="宋体" w:hAnsi="宋体" w:eastAsia="宋体" w:cs="宋体"/>
                <w:kern w:val="0"/>
                <w:sz w:val="24"/>
                <w:szCs w:val="24"/>
                <w:lang w:val="en-US" w:eastAsia="zh-CN" w:bidi="ar"/>
              </w:rPr>
              <w:t>1. 拟投入安装作业人员，持证安装人员≥2 人得 3 分；1 人得 1 分；不足 1 人不得分；2. 其他配套作业人员配置齐全，每提供 1 位相关作业人员有效证明材料得 1 分，本小项最高 3 分；（须提供岗位 / 作业证明及投标单位为人员缴纳近半年社保证明复印件）</w:t>
            </w:r>
          </w:p>
        </w:tc>
        <w:tc>
          <w:tcPr>
            <w:tcW w:w="399" w:type="pct"/>
            <w:tcBorders>
              <w:tl2br w:val="nil"/>
              <w:tr2bl w:val="nil"/>
            </w:tcBorders>
            <w:shd w:val="clear" w:color="auto" w:fill="auto"/>
            <w:tcMar>
              <w:top w:w="120" w:type="dxa"/>
              <w:left w:w="120" w:type="dxa"/>
              <w:bottom w:w="120" w:type="dxa"/>
              <w:right w:w="120" w:type="dxa"/>
            </w:tcMar>
            <w:vAlign w:val="center"/>
          </w:tcPr>
          <w:p w14:paraId="6E7EB9CD">
            <w:pPr>
              <w:jc w:val="left"/>
              <w:rPr>
                <w:rFonts w:hint="eastAsia" w:ascii="宋体"/>
                <w:sz w:val="24"/>
                <w:szCs w:val="24"/>
              </w:rPr>
            </w:pPr>
          </w:p>
        </w:tc>
      </w:tr>
      <w:tr w14:paraId="5CCDA34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55CC062D">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1569B331">
            <w:pPr>
              <w:keepNext w:val="0"/>
              <w:keepLines w:val="0"/>
              <w:widowControl/>
              <w:suppressLineNumbers w:val="0"/>
              <w:jc w:val="center"/>
            </w:pPr>
            <w:r>
              <w:rPr>
                <w:rFonts w:ascii="宋体" w:hAnsi="宋体" w:eastAsia="宋体" w:cs="宋体"/>
                <w:kern w:val="0"/>
                <w:sz w:val="24"/>
                <w:szCs w:val="24"/>
                <w:lang w:val="en-US" w:eastAsia="zh-CN" w:bidi="ar"/>
              </w:rPr>
              <w:t>整体文化设计方案</w:t>
            </w:r>
          </w:p>
        </w:tc>
        <w:tc>
          <w:tcPr>
            <w:tcW w:w="370" w:type="pct"/>
            <w:tcBorders>
              <w:tl2br w:val="nil"/>
              <w:tr2bl w:val="nil"/>
            </w:tcBorders>
            <w:shd w:val="clear" w:color="auto" w:fill="auto"/>
            <w:tcMar>
              <w:top w:w="120" w:type="dxa"/>
              <w:left w:w="120" w:type="dxa"/>
              <w:bottom w:w="120" w:type="dxa"/>
              <w:right w:w="120" w:type="dxa"/>
            </w:tcMar>
            <w:vAlign w:val="center"/>
          </w:tcPr>
          <w:p w14:paraId="3E2A3E5F">
            <w:pPr>
              <w:keepNext w:val="0"/>
              <w:keepLines w:val="0"/>
              <w:widowControl/>
              <w:suppressLineNumbers w:val="0"/>
              <w:jc w:val="center"/>
            </w:pPr>
            <w:r>
              <w:rPr>
                <w:rFonts w:ascii="宋体" w:hAnsi="宋体" w:eastAsia="宋体" w:cs="宋体"/>
                <w:kern w:val="0"/>
                <w:sz w:val="24"/>
                <w:szCs w:val="24"/>
                <w:lang w:val="en-US" w:eastAsia="zh-CN" w:bidi="ar"/>
              </w:rPr>
              <w:t>4</w:t>
            </w:r>
          </w:p>
        </w:tc>
        <w:tc>
          <w:tcPr>
            <w:tcW w:w="3170" w:type="pct"/>
            <w:tcBorders>
              <w:tl2br w:val="nil"/>
              <w:tr2bl w:val="nil"/>
            </w:tcBorders>
            <w:shd w:val="clear" w:color="auto" w:fill="auto"/>
            <w:tcMar>
              <w:top w:w="120" w:type="dxa"/>
              <w:left w:w="120" w:type="dxa"/>
              <w:bottom w:w="120" w:type="dxa"/>
              <w:right w:w="120" w:type="dxa"/>
            </w:tcMar>
            <w:vAlign w:val="center"/>
          </w:tcPr>
          <w:p w14:paraId="17898395">
            <w:pPr>
              <w:keepNext w:val="0"/>
              <w:keepLines w:val="0"/>
              <w:widowControl/>
              <w:suppressLineNumbers w:val="0"/>
              <w:jc w:val="left"/>
            </w:pPr>
            <w:r>
              <w:rPr>
                <w:rFonts w:ascii="宋体" w:hAnsi="宋体" w:eastAsia="宋体" w:cs="宋体"/>
                <w:kern w:val="0"/>
                <w:sz w:val="24"/>
                <w:szCs w:val="24"/>
                <w:lang w:val="en-US" w:eastAsia="zh-CN" w:bidi="ar"/>
              </w:rPr>
              <w:t>优（4 分）：充分挖掘中医文化内涵，方案贴合医院中医科现场环境，兼顾就医实用性、人文氛围，逻辑清晰，重点突出，无原则性错误；良（2 分）：方案整体合理，具备中医文化元素，但部分细节结合现场不足，存在少量瑕疵；差（1 分）：方案套用模板，与中医科现场脱节，文化表达空洞，存在重大缺漏。</w:t>
            </w:r>
          </w:p>
        </w:tc>
        <w:tc>
          <w:tcPr>
            <w:tcW w:w="399" w:type="pct"/>
            <w:tcBorders>
              <w:tl2br w:val="nil"/>
              <w:tr2bl w:val="nil"/>
            </w:tcBorders>
            <w:shd w:val="clear" w:color="auto" w:fill="auto"/>
            <w:tcMar>
              <w:top w:w="120" w:type="dxa"/>
              <w:left w:w="120" w:type="dxa"/>
              <w:bottom w:w="120" w:type="dxa"/>
              <w:right w:w="120" w:type="dxa"/>
            </w:tcMar>
            <w:vAlign w:val="center"/>
          </w:tcPr>
          <w:p w14:paraId="00A829C8">
            <w:pPr>
              <w:jc w:val="left"/>
              <w:rPr>
                <w:rFonts w:hint="eastAsia" w:ascii="宋体"/>
                <w:sz w:val="24"/>
                <w:szCs w:val="24"/>
              </w:rPr>
            </w:pPr>
          </w:p>
        </w:tc>
      </w:tr>
      <w:tr w14:paraId="2B3D512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143B045C">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709B96F2">
            <w:pPr>
              <w:keepNext w:val="0"/>
              <w:keepLines w:val="0"/>
              <w:widowControl/>
              <w:suppressLineNumbers w:val="0"/>
              <w:jc w:val="center"/>
            </w:pPr>
            <w:r>
              <w:rPr>
                <w:rFonts w:ascii="宋体" w:hAnsi="宋体" w:eastAsia="宋体" w:cs="宋体"/>
                <w:kern w:val="0"/>
                <w:sz w:val="24"/>
                <w:szCs w:val="24"/>
                <w:lang w:val="en-US" w:eastAsia="zh-CN" w:bidi="ar"/>
              </w:rPr>
              <w:t>区域布置与材质选型方案</w:t>
            </w:r>
          </w:p>
        </w:tc>
        <w:tc>
          <w:tcPr>
            <w:tcW w:w="370" w:type="pct"/>
            <w:tcBorders>
              <w:tl2br w:val="nil"/>
              <w:tr2bl w:val="nil"/>
            </w:tcBorders>
            <w:shd w:val="clear" w:color="auto" w:fill="auto"/>
            <w:tcMar>
              <w:top w:w="120" w:type="dxa"/>
              <w:left w:w="120" w:type="dxa"/>
              <w:bottom w:w="120" w:type="dxa"/>
              <w:right w:w="120" w:type="dxa"/>
            </w:tcMar>
            <w:vAlign w:val="center"/>
          </w:tcPr>
          <w:p w14:paraId="08688109">
            <w:pPr>
              <w:keepNext w:val="0"/>
              <w:keepLines w:val="0"/>
              <w:widowControl/>
              <w:suppressLineNumbers w:val="0"/>
              <w:jc w:val="center"/>
            </w:pPr>
            <w:r>
              <w:rPr>
                <w:rFonts w:ascii="宋体" w:hAnsi="宋体" w:eastAsia="宋体" w:cs="宋体"/>
                <w:kern w:val="0"/>
                <w:sz w:val="24"/>
                <w:szCs w:val="24"/>
                <w:lang w:val="en-US" w:eastAsia="zh-CN" w:bidi="ar"/>
              </w:rPr>
              <w:t>4</w:t>
            </w:r>
          </w:p>
        </w:tc>
        <w:tc>
          <w:tcPr>
            <w:tcW w:w="3170" w:type="pct"/>
            <w:tcBorders>
              <w:tl2br w:val="nil"/>
              <w:tr2bl w:val="nil"/>
            </w:tcBorders>
            <w:shd w:val="clear" w:color="auto" w:fill="auto"/>
            <w:tcMar>
              <w:top w:w="120" w:type="dxa"/>
              <w:left w:w="120" w:type="dxa"/>
              <w:bottom w:w="120" w:type="dxa"/>
              <w:right w:w="120" w:type="dxa"/>
            </w:tcMar>
            <w:vAlign w:val="center"/>
          </w:tcPr>
          <w:p w14:paraId="6702C96D">
            <w:pPr>
              <w:keepNext w:val="0"/>
              <w:keepLines w:val="0"/>
              <w:widowControl/>
              <w:suppressLineNumbers w:val="0"/>
              <w:jc w:val="left"/>
            </w:pPr>
            <w:r>
              <w:rPr>
                <w:rFonts w:ascii="宋体" w:hAnsi="宋体" w:eastAsia="宋体" w:cs="宋体"/>
                <w:kern w:val="0"/>
                <w:sz w:val="24"/>
                <w:szCs w:val="24"/>
                <w:lang w:val="en-US" w:eastAsia="zh-CN" w:bidi="ar"/>
              </w:rPr>
              <w:t>优（4 分）：各功能区域标识系统、软装陈设、文化装饰布置划分清晰；优先采用成品物料、无痕安装；严格控制局部改造，不涉及大范围墙体、地面、吊顶、水电拆改；材质规格、工艺选型完整，落地性强；良（2 分）：布置方案基本可行，材质选型基本合理，但部分细节描述不够完善；差（0 分）：未提供对应方案或方案违背本项目改造约束条件，不可落地。</w:t>
            </w:r>
          </w:p>
        </w:tc>
        <w:tc>
          <w:tcPr>
            <w:tcW w:w="399" w:type="pct"/>
            <w:tcBorders>
              <w:tl2br w:val="nil"/>
              <w:tr2bl w:val="nil"/>
            </w:tcBorders>
            <w:shd w:val="clear" w:color="auto" w:fill="auto"/>
            <w:tcMar>
              <w:top w:w="120" w:type="dxa"/>
              <w:left w:w="120" w:type="dxa"/>
              <w:bottom w:w="120" w:type="dxa"/>
              <w:right w:w="120" w:type="dxa"/>
            </w:tcMar>
            <w:vAlign w:val="center"/>
          </w:tcPr>
          <w:p w14:paraId="641F0316">
            <w:pPr>
              <w:jc w:val="left"/>
              <w:rPr>
                <w:rFonts w:hint="eastAsia" w:ascii="宋体"/>
                <w:sz w:val="24"/>
                <w:szCs w:val="24"/>
              </w:rPr>
            </w:pPr>
          </w:p>
        </w:tc>
      </w:tr>
      <w:tr w14:paraId="49B7A6C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30D125B9">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1A14C97E">
            <w:pPr>
              <w:keepNext w:val="0"/>
              <w:keepLines w:val="0"/>
              <w:widowControl/>
              <w:suppressLineNumbers w:val="0"/>
              <w:jc w:val="center"/>
            </w:pPr>
            <w:r>
              <w:rPr>
                <w:rFonts w:ascii="宋体" w:hAnsi="宋体" w:eastAsia="宋体" w:cs="宋体"/>
                <w:kern w:val="0"/>
                <w:sz w:val="24"/>
                <w:szCs w:val="24"/>
                <w:lang w:val="en-US" w:eastAsia="zh-CN" w:bidi="ar"/>
              </w:rPr>
              <w:t>标识系统专项方案</w:t>
            </w:r>
          </w:p>
        </w:tc>
        <w:tc>
          <w:tcPr>
            <w:tcW w:w="370" w:type="pct"/>
            <w:tcBorders>
              <w:tl2br w:val="nil"/>
              <w:tr2bl w:val="nil"/>
            </w:tcBorders>
            <w:shd w:val="clear" w:color="auto" w:fill="auto"/>
            <w:tcMar>
              <w:top w:w="120" w:type="dxa"/>
              <w:left w:w="120" w:type="dxa"/>
              <w:bottom w:w="120" w:type="dxa"/>
              <w:right w:w="120" w:type="dxa"/>
            </w:tcMar>
            <w:vAlign w:val="center"/>
          </w:tcPr>
          <w:p w14:paraId="72E859C7">
            <w:pPr>
              <w:keepNext w:val="0"/>
              <w:keepLines w:val="0"/>
              <w:widowControl/>
              <w:suppressLineNumbers w:val="0"/>
              <w:jc w:val="center"/>
            </w:pPr>
            <w:r>
              <w:rPr>
                <w:rFonts w:ascii="宋体" w:hAnsi="宋体" w:eastAsia="宋体" w:cs="宋体"/>
                <w:kern w:val="0"/>
                <w:sz w:val="24"/>
                <w:szCs w:val="24"/>
                <w:lang w:val="en-US" w:eastAsia="zh-CN" w:bidi="ar"/>
              </w:rPr>
              <w:t>4</w:t>
            </w:r>
          </w:p>
        </w:tc>
        <w:tc>
          <w:tcPr>
            <w:tcW w:w="3170" w:type="pct"/>
            <w:tcBorders>
              <w:tl2br w:val="nil"/>
              <w:tr2bl w:val="nil"/>
            </w:tcBorders>
            <w:shd w:val="clear" w:color="auto" w:fill="auto"/>
            <w:tcMar>
              <w:top w:w="120" w:type="dxa"/>
              <w:left w:w="120" w:type="dxa"/>
              <w:bottom w:w="120" w:type="dxa"/>
              <w:right w:w="120" w:type="dxa"/>
            </w:tcMar>
            <w:vAlign w:val="center"/>
          </w:tcPr>
          <w:p w14:paraId="1393AF28">
            <w:pPr>
              <w:keepNext w:val="0"/>
              <w:keepLines w:val="0"/>
              <w:widowControl/>
              <w:suppressLineNumbers w:val="0"/>
              <w:jc w:val="left"/>
            </w:pPr>
            <w:r>
              <w:rPr>
                <w:rFonts w:ascii="宋体" w:hAnsi="宋体" w:eastAsia="宋体" w:cs="宋体"/>
                <w:kern w:val="0"/>
                <w:sz w:val="24"/>
                <w:szCs w:val="24"/>
                <w:lang w:val="en-US" w:eastAsia="zh-CN" w:bidi="ar"/>
              </w:rPr>
              <w:t>优（4 分）：中医科标识分级清晰，导视逻辑通顺，尺寸、材质、安装方式明确，兼顾美观、耐磨、后期维护更换便利；良（2 分）：标识方案基本完整，但部分规格、维护措施描述简略；差（1 分）：标识内容缺项多，未考虑后期运维。</w:t>
            </w:r>
          </w:p>
        </w:tc>
        <w:tc>
          <w:tcPr>
            <w:tcW w:w="399" w:type="pct"/>
            <w:tcBorders>
              <w:tl2br w:val="nil"/>
              <w:tr2bl w:val="nil"/>
            </w:tcBorders>
            <w:shd w:val="clear" w:color="auto" w:fill="auto"/>
            <w:tcMar>
              <w:top w:w="120" w:type="dxa"/>
              <w:left w:w="120" w:type="dxa"/>
              <w:bottom w:w="120" w:type="dxa"/>
              <w:right w:w="120" w:type="dxa"/>
            </w:tcMar>
            <w:vAlign w:val="center"/>
          </w:tcPr>
          <w:p w14:paraId="394C67BD">
            <w:pPr>
              <w:jc w:val="left"/>
              <w:rPr>
                <w:rFonts w:hint="eastAsia" w:ascii="宋体"/>
                <w:sz w:val="24"/>
                <w:szCs w:val="24"/>
              </w:rPr>
            </w:pPr>
          </w:p>
        </w:tc>
      </w:tr>
      <w:tr w14:paraId="0AF0D85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7A6F4096">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634E7CC9">
            <w:pPr>
              <w:keepNext w:val="0"/>
              <w:keepLines w:val="0"/>
              <w:widowControl/>
              <w:suppressLineNumbers w:val="0"/>
              <w:jc w:val="center"/>
            </w:pPr>
            <w:r>
              <w:rPr>
                <w:rFonts w:ascii="宋体" w:hAnsi="宋体" w:eastAsia="宋体" w:cs="宋体"/>
                <w:kern w:val="0"/>
                <w:sz w:val="24"/>
                <w:szCs w:val="24"/>
                <w:lang w:val="en-US" w:eastAsia="zh-CN" w:bidi="ar"/>
              </w:rPr>
              <w:t>软装陈设及文化装饰方案</w:t>
            </w:r>
          </w:p>
        </w:tc>
        <w:tc>
          <w:tcPr>
            <w:tcW w:w="370" w:type="pct"/>
            <w:tcBorders>
              <w:tl2br w:val="nil"/>
              <w:tr2bl w:val="nil"/>
            </w:tcBorders>
            <w:shd w:val="clear" w:color="auto" w:fill="auto"/>
            <w:tcMar>
              <w:top w:w="120" w:type="dxa"/>
              <w:left w:w="120" w:type="dxa"/>
              <w:bottom w:w="120" w:type="dxa"/>
              <w:right w:w="120" w:type="dxa"/>
            </w:tcMar>
            <w:vAlign w:val="center"/>
          </w:tcPr>
          <w:p w14:paraId="648C36B3">
            <w:pPr>
              <w:keepNext w:val="0"/>
              <w:keepLines w:val="0"/>
              <w:widowControl/>
              <w:suppressLineNumbers w:val="0"/>
              <w:jc w:val="center"/>
            </w:pPr>
            <w:r>
              <w:rPr>
                <w:rFonts w:ascii="宋体" w:hAnsi="宋体" w:eastAsia="宋体" w:cs="宋体"/>
                <w:kern w:val="0"/>
                <w:sz w:val="24"/>
                <w:szCs w:val="24"/>
                <w:lang w:val="en-US" w:eastAsia="zh-CN" w:bidi="ar"/>
              </w:rPr>
              <w:t>4</w:t>
            </w:r>
          </w:p>
        </w:tc>
        <w:tc>
          <w:tcPr>
            <w:tcW w:w="3170" w:type="pct"/>
            <w:tcBorders>
              <w:tl2br w:val="nil"/>
              <w:tr2bl w:val="nil"/>
            </w:tcBorders>
            <w:shd w:val="clear" w:color="auto" w:fill="auto"/>
            <w:tcMar>
              <w:top w:w="120" w:type="dxa"/>
              <w:left w:w="120" w:type="dxa"/>
              <w:bottom w:w="120" w:type="dxa"/>
              <w:right w:w="120" w:type="dxa"/>
            </w:tcMar>
            <w:vAlign w:val="center"/>
          </w:tcPr>
          <w:p w14:paraId="5A12E4D6">
            <w:pPr>
              <w:keepNext w:val="0"/>
              <w:keepLines w:val="0"/>
              <w:widowControl/>
              <w:suppressLineNumbers w:val="0"/>
              <w:jc w:val="left"/>
            </w:pPr>
            <w:r>
              <w:rPr>
                <w:rFonts w:ascii="宋体" w:hAnsi="宋体" w:eastAsia="宋体" w:cs="宋体"/>
                <w:kern w:val="0"/>
                <w:sz w:val="24"/>
                <w:szCs w:val="24"/>
                <w:lang w:val="en-US" w:eastAsia="zh-CN" w:bidi="ar"/>
              </w:rPr>
              <w:t>优（4 分）：软装、中医文化装饰内容丰富，与科室诊疗环境适配；色彩、造型符合医疗场所要求，无夸张难实现装饰效果，全部内容可在 10 万控制价内落地；良（2 分）：软装及文化装饰内容完整，但部分落地细节考虑不足；差（1 分）：方案存在大量难以实现的装饰效果，脱离预算约束。</w:t>
            </w:r>
          </w:p>
        </w:tc>
        <w:tc>
          <w:tcPr>
            <w:tcW w:w="399" w:type="pct"/>
            <w:tcBorders>
              <w:tl2br w:val="nil"/>
              <w:tr2bl w:val="nil"/>
            </w:tcBorders>
            <w:shd w:val="clear" w:color="auto" w:fill="auto"/>
            <w:tcMar>
              <w:top w:w="120" w:type="dxa"/>
              <w:left w:w="120" w:type="dxa"/>
              <w:bottom w:w="120" w:type="dxa"/>
              <w:right w:w="120" w:type="dxa"/>
            </w:tcMar>
            <w:vAlign w:val="center"/>
          </w:tcPr>
          <w:p w14:paraId="33A0DBA0">
            <w:pPr>
              <w:jc w:val="left"/>
              <w:rPr>
                <w:rFonts w:hint="eastAsia" w:ascii="宋体"/>
                <w:sz w:val="24"/>
                <w:szCs w:val="24"/>
              </w:rPr>
            </w:pPr>
          </w:p>
        </w:tc>
      </w:tr>
      <w:tr w14:paraId="7327846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240CD5E1">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05F66405">
            <w:pPr>
              <w:keepNext w:val="0"/>
              <w:keepLines w:val="0"/>
              <w:widowControl/>
              <w:suppressLineNumbers w:val="0"/>
              <w:jc w:val="center"/>
            </w:pPr>
            <w:r>
              <w:rPr>
                <w:rFonts w:ascii="宋体" w:hAnsi="宋体" w:eastAsia="宋体" w:cs="宋体"/>
                <w:kern w:val="0"/>
                <w:sz w:val="24"/>
                <w:szCs w:val="24"/>
                <w:lang w:val="en-US" w:eastAsia="zh-CN" w:bidi="ar"/>
              </w:rPr>
              <w:t>工程量清单及报价响应</w:t>
            </w:r>
          </w:p>
        </w:tc>
        <w:tc>
          <w:tcPr>
            <w:tcW w:w="370" w:type="pct"/>
            <w:tcBorders>
              <w:tl2br w:val="nil"/>
              <w:tr2bl w:val="nil"/>
            </w:tcBorders>
            <w:shd w:val="clear" w:color="auto" w:fill="auto"/>
            <w:tcMar>
              <w:top w:w="120" w:type="dxa"/>
              <w:left w:w="120" w:type="dxa"/>
              <w:bottom w:w="120" w:type="dxa"/>
              <w:right w:w="120" w:type="dxa"/>
            </w:tcMar>
            <w:vAlign w:val="center"/>
          </w:tcPr>
          <w:p w14:paraId="77318248">
            <w:pPr>
              <w:keepNext w:val="0"/>
              <w:keepLines w:val="0"/>
              <w:widowControl/>
              <w:suppressLineNumbers w:val="0"/>
              <w:jc w:val="center"/>
            </w:pPr>
            <w:r>
              <w:rPr>
                <w:rFonts w:ascii="宋体" w:hAnsi="宋体" w:eastAsia="宋体" w:cs="宋体"/>
                <w:kern w:val="0"/>
                <w:sz w:val="24"/>
                <w:szCs w:val="24"/>
                <w:lang w:val="en-US" w:eastAsia="zh-CN" w:bidi="ar"/>
              </w:rPr>
              <w:t>4</w:t>
            </w:r>
          </w:p>
        </w:tc>
        <w:tc>
          <w:tcPr>
            <w:tcW w:w="3170" w:type="pct"/>
            <w:tcBorders>
              <w:tl2br w:val="nil"/>
              <w:tr2bl w:val="nil"/>
            </w:tcBorders>
            <w:shd w:val="clear" w:color="auto" w:fill="auto"/>
            <w:tcMar>
              <w:top w:w="120" w:type="dxa"/>
              <w:left w:w="120" w:type="dxa"/>
              <w:bottom w:w="120" w:type="dxa"/>
              <w:right w:w="120" w:type="dxa"/>
            </w:tcMar>
            <w:vAlign w:val="center"/>
          </w:tcPr>
          <w:p w14:paraId="02900991">
            <w:pPr>
              <w:keepNext w:val="0"/>
              <w:keepLines w:val="0"/>
              <w:widowControl/>
              <w:suppressLineNumbers w:val="0"/>
              <w:jc w:val="left"/>
            </w:pPr>
            <w:r>
              <w:rPr>
                <w:rFonts w:ascii="宋体" w:hAnsi="宋体" w:eastAsia="宋体" w:cs="宋体"/>
                <w:kern w:val="0"/>
                <w:sz w:val="24"/>
                <w:szCs w:val="24"/>
                <w:lang w:val="en-US" w:eastAsia="zh-CN" w:bidi="ar"/>
              </w:rPr>
              <w:t>优（4 分）：工程量清单完整规范，品名、规格、材质工艺、数量、安装要求完整清晰，全费用包干包含勘测、设计、制作、运输、安装、清运、税费、质保全部内容；良（2 分）：清单主要内容齐全，少量细节缺失；差（1 分）：清单缺项漏项多，未体现全费用包干内容。</w:t>
            </w:r>
          </w:p>
        </w:tc>
        <w:tc>
          <w:tcPr>
            <w:tcW w:w="399" w:type="pct"/>
            <w:tcBorders>
              <w:tl2br w:val="nil"/>
              <w:tr2bl w:val="nil"/>
            </w:tcBorders>
            <w:shd w:val="clear" w:color="auto" w:fill="auto"/>
            <w:tcMar>
              <w:top w:w="120" w:type="dxa"/>
              <w:left w:w="120" w:type="dxa"/>
              <w:bottom w:w="120" w:type="dxa"/>
              <w:right w:w="120" w:type="dxa"/>
            </w:tcMar>
            <w:vAlign w:val="center"/>
          </w:tcPr>
          <w:p w14:paraId="73258FE0">
            <w:pPr>
              <w:jc w:val="left"/>
              <w:rPr>
                <w:rFonts w:hint="eastAsia" w:ascii="宋体"/>
                <w:sz w:val="24"/>
                <w:szCs w:val="24"/>
              </w:rPr>
            </w:pPr>
          </w:p>
        </w:tc>
      </w:tr>
      <w:tr w14:paraId="65509A3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4E9F6ECE">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54C78233">
            <w:pPr>
              <w:keepNext w:val="0"/>
              <w:keepLines w:val="0"/>
              <w:widowControl/>
              <w:suppressLineNumbers w:val="0"/>
              <w:jc w:val="center"/>
            </w:pPr>
            <w:r>
              <w:rPr>
                <w:rFonts w:ascii="宋体" w:hAnsi="宋体" w:eastAsia="宋体" w:cs="宋体"/>
                <w:kern w:val="0"/>
                <w:sz w:val="24"/>
                <w:szCs w:val="24"/>
                <w:lang w:val="en-US" w:eastAsia="zh-CN" w:bidi="ar"/>
              </w:rPr>
              <w:t>成品保护、院感及文明施工措施</w:t>
            </w:r>
          </w:p>
        </w:tc>
        <w:tc>
          <w:tcPr>
            <w:tcW w:w="370" w:type="pct"/>
            <w:tcBorders>
              <w:tl2br w:val="nil"/>
              <w:tr2bl w:val="nil"/>
            </w:tcBorders>
            <w:shd w:val="clear" w:color="auto" w:fill="auto"/>
            <w:tcMar>
              <w:top w:w="120" w:type="dxa"/>
              <w:left w:w="120" w:type="dxa"/>
              <w:bottom w:w="120" w:type="dxa"/>
              <w:right w:w="120" w:type="dxa"/>
            </w:tcMar>
            <w:vAlign w:val="center"/>
          </w:tcPr>
          <w:p w14:paraId="4B4842D6">
            <w:pPr>
              <w:keepNext w:val="0"/>
              <w:keepLines w:val="0"/>
              <w:widowControl/>
              <w:suppressLineNumbers w:val="0"/>
              <w:jc w:val="center"/>
            </w:pPr>
            <w:r>
              <w:rPr>
                <w:rFonts w:ascii="宋体" w:hAnsi="宋体" w:eastAsia="宋体" w:cs="宋体"/>
                <w:kern w:val="0"/>
                <w:sz w:val="24"/>
                <w:szCs w:val="24"/>
                <w:lang w:val="en-US" w:eastAsia="zh-CN" w:bidi="ar"/>
              </w:rPr>
              <w:t>3</w:t>
            </w:r>
          </w:p>
        </w:tc>
        <w:tc>
          <w:tcPr>
            <w:tcW w:w="3170" w:type="pct"/>
            <w:tcBorders>
              <w:tl2br w:val="nil"/>
              <w:tr2bl w:val="nil"/>
            </w:tcBorders>
            <w:shd w:val="clear" w:color="auto" w:fill="auto"/>
            <w:tcMar>
              <w:top w:w="120" w:type="dxa"/>
              <w:left w:w="120" w:type="dxa"/>
              <w:bottom w:w="120" w:type="dxa"/>
              <w:right w:w="120" w:type="dxa"/>
            </w:tcMar>
            <w:vAlign w:val="center"/>
          </w:tcPr>
          <w:p w14:paraId="60C258E6">
            <w:pPr>
              <w:keepNext w:val="0"/>
              <w:keepLines w:val="0"/>
              <w:widowControl/>
              <w:suppressLineNumbers w:val="0"/>
              <w:jc w:val="left"/>
            </w:pPr>
            <w:r>
              <w:rPr>
                <w:rFonts w:ascii="宋体" w:hAnsi="宋体" w:eastAsia="宋体" w:cs="宋体"/>
                <w:kern w:val="0"/>
                <w:sz w:val="24"/>
                <w:szCs w:val="24"/>
                <w:lang w:val="en-US" w:eastAsia="zh-CN" w:bidi="ar"/>
              </w:rPr>
              <w:t>优（3 分）：针对医院诊疗环境，成品保护、防尘降噪、院感防控措施全面具体，避免施工对科室正常就医造成干扰；文明施工管控措施明确；良（2 分）：具备保护及院感措施，但系统性不足；差（1 分）：措施简单笼统。</w:t>
            </w:r>
          </w:p>
        </w:tc>
        <w:tc>
          <w:tcPr>
            <w:tcW w:w="399" w:type="pct"/>
            <w:tcBorders>
              <w:tl2br w:val="nil"/>
              <w:tr2bl w:val="nil"/>
            </w:tcBorders>
            <w:shd w:val="clear" w:color="auto" w:fill="auto"/>
            <w:tcMar>
              <w:top w:w="120" w:type="dxa"/>
              <w:left w:w="120" w:type="dxa"/>
              <w:bottom w:w="120" w:type="dxa"/>
              <w:right w:w="120" w:type="dxa"/>
            </w:tcMar>
            <w:vAlign w:val="center"/>
          </w:tcPr>
          <w:p w14:paraId="04583078">
            <w:pPr>
              <w:jc w:val="left"/>
              <w:rPr>
                <w:rFonts w:hint="eastAsia" w:ascii="宋体"/>
                <w:sz w:val="24"/>
                <w:szCs w:val="24"/>
              </w:rPr>
            </w:pPr>
          </w:p>
        </w:tc>
      </w:tr>
      <w:tr w14:paraId="7519FF4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0D866DC6">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620E122D">
            <w:pPr>
              <w:keepNext w:val="0"/>
              <w:keepLines w:val="0"/>
              <w:widowControl/>
              <w:suppressLineNumbers w:val="0"/>
              <w:jc w:val="center"/>
            </w:pPr>
            <w:r>
              <w:rPr>
                <w:rFonts w:ascii="宋体" w:hAnsi="宋体" w:eastAsia="宋体" w:cs="宋体"/>
                <w:kern w:val="0"/>
                <w:sz w:val="24"/>
                <w:szCs w:val="24"/>
                <w:lang w:val="en-US" w:eastAsia="zh-CN" w:bidi="ar"/>
              </w:rPr>
              <w:t>工期、供货及安装保障措施</w:t>
            </w:r>
          </w:p>
        </w:tc>
        <w:tc>
          <w:tcPr>
            <w:tcW w:w="370" w:type="pct"/>
            <w:tcBorders>
              <w:tl2br w:val="nil"/>
              <w:tr2bl w:val="nil"/>
            </w:tcBorders>
            <w:shd w:val="clear" w:color="auto" w:fill="auto"/>
            <w:tcMar>
              <w:top w:w="120" w:type="dxa"/>
              <w:left w:w="120" w:type="dxa"/>
              <w:bottom w:w="120" w:type="dxa"/>
              <w:right w:w="120" w:type="dxa"/>
            </w:tcMar>
            <w:vAlign w:val="center"/>
          </w:tcPr>
          <w:p w14:paraId="107BECDE">
            <w:pPr>
              <w:keepNext w:val="0"/>
              <w:keepLines w:val="0"/>
              <w:widowControl/>
              <w:suppressLineNumbers w:val="0"/>
              <w:jc w:val="center"/>
            </w:pPr>
            <w:r>
              <w:rPr>
                <w:rFonts w:ascii="宋体" w:hAnsi="宋体" w:eastAsia="宋体" w:cs="宋体"/>
                <w:kern w:val="0"/>
                <w:sz w:val="24"/>
                <w:szCs w:val="24"/>
                <w:lang w:val="en-US" w:eastAsia="zh-CN" w:bidi="ar"/>
              </w:rPr>
              <w:t>4</w:t>
            </w:r>
          </w:p>
        </w:tc>
        <w:tc>
          <w:tcPr>
            <w:tcW w:w="3170" w:type="pct"/>
            <w:tcBorders>
              <w:tl2br w:val="nil"/>
              <w:tr2bl w:val="nil"/>
            </w:tcBorders>
            <w:shd w:val="clear" w:color="auto" w:fill="auto"/>
            <w:tcMar>
              <w:top w:w="120" w:type="dxa"/>
              <w:left w:w="120" w:type="dxa"/>
              <w:bottom w:w="120" w:type="dxa"/>
              <w:right w:w="120" w:type="dxa"/>
            </w:tcMar>
            <w:vAlign w:val="center"/>
          </w:tcPr>
          <w:p w14:paraId="6EABC060">
            <w:pPr>
              <w:keepNext w:val="0"/>
              <w:keepLines w:val="0"/>
              <w:widowControl/>
              <w:suppressLineNumbers w:val="0"/>
              <w:jc w:val="left"/>
            </w:pPr>
            <w:r>
              <w:rPr>
                <w:rFonts w:ascii="宋体" w:hAnsi="宋体" w:eastAsia="宋体" w:cs="宋体"/>
                <w:kern w:val="0"/>
                <w:sz w:val="24"/>
                <w:szCs w:val="24"/>
                <w:lang w:val="en-US" w:eastAsia="zh-CN" w:bidi="ar"/>
              </w:rPr>
              <w:t>优（4 分）：工期计划明确合理，有清晰进度安排；物料采购、生产、运输、安装各环节保障措施具体，最大限度降低对医院正常运行影响；良（2 分）：具备工期计划，但保障措施深度不足；差 (1 分）：计划简略，无具体保障措施。</w:t>
            </w:r>
          </w:p>
        </w:tc>
        <w:tc>
          <w:tcPr>
            <w:tcW w:w="399" w:type="pct"/>
            <w:tcBorders>
              <w:tl2br w:val="nil"/>
              <w:tr2bl w:val="nil"/>
            </w:tcBorders>
            <w:shd w:val="clear" w:color="auto" w:fill="auto"/>
            <w:tcMar>
              <w:top w:w="120" w:type="dxa"/>
              <w:left w:w="120" w:type="dxa"/>
              <w:bottom w:w="120" w:type="dxa"/>
              <w:right w:w="120" w:type="dxa"/>
            </w:tcMar>
            <w:vAlign w:val="center"/>
          </w:tcPr>
          <w:p w14:paraId="6AB86713">
            <w:pPr>
              <w:jc w:val="left"/>
              <w:rPr>
                <w:rFonts w:hint="eastAsia" w:ascii="宋体"/>
                <w:sz w:val="24"/>
                <w:szCs w:val="24"/>
              </w:rPr>
            </w:pPr>
          </w:p>
        </w:tc>
      </w:tr>
      <w:tr w14:paraId="3D647E7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69F1EFEC">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3F25BD2D">
            <w:pPr>
              <w:keepNext w:val="0"/>
              <w:keepLines w:val="0"/>
              <w:widowControl/>
              <w:suppressLineNumbers w:val="0"/>
              <w:jc w:val="center"/>
            </w:pPr>
            <w:r>
              <w:rPr>
                <w:rFonts w:ascii="宋体" w:hAnsi="宋体" w:eastAsia="宋体" w:cs="宋体"/>
                <w:kern w:val="0"/>
                <w:sz w:val="24"/>
                <w:szCs w:val="24"/>
                <w:lang w:val="en-US" w:eastAsia="zh-CN" w:bidi="ar"/>
              </w:rPr>
              <w:t>项目管理班子配备情况</w:t>
            </w:r>
          </w:p>
        </w:tc>
        <w:tc>
          <w:tcPr>
            <w:tcW w:w="370" w:type="pct"/>
            <w:tcBorders>
              <w:tl2br w:val="nil"/>
              <w:tr2bl w:val="nil"/>
            </w:tcBorders>
            <w:shd w:val="clear" w:color="auto" w:fill="auto"/>
            <w:tcMar>
              <w:top w:w="120" w:type="dxa"/>
              <w:left w:w="120" w:type="dxa"/>
              <w:bottom w:w="120" w:type="dxa"/>
              <w:right w:w="120" w:type="dxa"/>
            </w:tcMar>
            <w:vAlign w:val="center"/>
          </w:tcPr>
          <w:p w14:paraId="7C15D89A">
            <w:pPr>
              <w:keepNext w:val="0"/>
              <w:keepLines w:val="0"/>
              <w:widowControl/>
              <w:suppressLineNumbers w:val="0"/>
              <w:jc w:val="center"/>
            </w:pPr>
            <w:r>
              <w:rPr>
                <w:rFonts w:ascii="宋体" w:hAnsi="宋体" w:eastAsia="宋体" w:cs="宋体"/>
                <w:kern w:val="0"/>
                <w:sz w:val="24"/>
                <w:szCs w:val="24"/>
                <w:lang w:val="en-US" w:eastAsia="zh-CN" w:bidi="ar"/>
              </w:rPr>
              <w:t>5</w:t>
            </w:r>
          </w:p>
        </w:tc>
        <w:tc>
          <w:tcPr>
            <w:tcW w:w="3170" w:type="pct"/>
            <w:tcBorders>
              <w:tl2br w:val="nil"/>
              <w:tr2bl w:val="nil"/>
            </w:tcBorders>
            <w:shd w:val="clear" w:color="auto" w:fill="auto"/>
            <w:tcMar>
              <w:top w:w="120" w:type="dxa"/>
              <w:left w:w="120" w:type="dxa"/>
              <w:bottom w:w="120" w:type="dxa"/>
              <w:right w:w="120" w:type="dxa"/>
            </w:tcMar>
            <w:vAlign w:val="center"/>
          </w:tcPr>
          <w:p w14:paraId="38F582B3">
            <w:pPr>
              <w:keepNext w:val="0"/>
              <w:keepLines w:val="0"/>
              <w:widowControl/>
              <w:suppressLineNumbers w:val="0"/>
              <w:jc w:val="left"/>
            </w:pPr>
            <w:r>
              <w:rPr>
                <w:rFonts w:ascii="宋体" w:hAnsi="宋体" w:eastAsia="宋体" w:cs="宋体"/>
                <w:kern w:val="0"/>
                <w:sz w:val="24"/>
                <w:szCs w:val="24"/>
                <w:lang w:val="en-US" w:eastAsia="zh-CN" w:bidi="ar"/>
              </w:rPr>
              <w:t>配备项目现场管理、质量管控、安全管理人员全部到位得 5 分，每缺一类人员扣 1 分，扣完为止。供应商须提供岗位证明复印件及近六个月任意一个月社保缴纳证明，否则本项不得分。</w:t>
            </w:r>
          </w:p>
        </w:tc>
        <w:tc>
          <w:tcPr>
            <w:tcW w:w="399" w:type="pct"/>
            <w:tcBorders>
              <w:tl2br w:val="nil"/>
              <w:tr2bl w:val="nil"/>
            </w:tcBorders>
            <w:shd w:val="clear" w:color="auto" w:fill="auto"/>
            <w:tcMar>
              <w:top w:w="120" w:type="dxa"/>
              <w:left w:w="120" w:type="dxa"/>
              <w:bottom w:w="120" w:type="dxa"/>
              <w:right w:w="120" w:type="dxa"/>
            </w:tcMar>
            <w:vAlign w:val="center"/>
          </w:tcPr>
          <w:p w14:paraId="1D061DD2">
            <w:pPr>
              <w:jc w:val="left"/>
              <w:rPr>
                <w:rFonts w:hint="eastAsia" w:ascii="宋体"/>
                <w:sz w:val="24"/>
                <w:szCs w:val="24"/>
              </w:rPr>
            </w:pPr>
          </w:p>
        </w:tc>
      </w:tr>
      <w:tr w14:paraId="51884FF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4F10D07D">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56339768">
            <w:pPr>
              <w:keepNext w:val="0"/>
              <w:keepLines w:val="0"/>
              <w:widowControl/>
              <w:suppressLineNumbers w:val="0"/>
              <w:jc w:val="center"/>
            </w:pPr>
            <w:r>
              <w:rPr>
                <w:rFonts w:ascii="宋体" w:hAnsi="宋体" w:eastAsia="宋体" w:cs="宋体"/>
                <w:kern w:val="0"/>
                <w:sz w:val="24"/>
                <w:szCs w:val="24"/>
                <w:lang w:val="en-US" w:eastAsia="zh-CN" w:bidi="ar"/>
              </w:rPr>
              <w:t>应急预案与院方协调机制</w:t>
            </w:r>
          </w:p>
        </w:tc>
        <w:tc>
          <w:tcPr>
            <w:tcW w:w="370" w:type="pct"/>
            <w:tcBorders>
              <w:tl2br w:val="nil"/>
              <w:tr2bl w:val="nil"/>
            </w:tcBorders>
            <w:shd w:val="clear" w:color="auto" w:fill="auto"/>
            <w:tcMar>
              <w:top w:w="120" w:type="dxa"/>
              <w:left w:w="120" w:type="dxa"/>
              <w:bottom w:w="120" w:type="dxa"/>
              <w:right w:w="120" w:type="dxa"/>
            </w:tcMar>
            <w:vAlign w:val="center"/>
          </w:tcPr>
          <w:p w14:paraId="48C4122C">
            <w:pPr>
              <w:keepNext w:val="0"/>
              <w:keepLines w:val="0"/>
              <w:widowControl/>
              <w:suppressLineNumbers w:val="0"/>
              <w:jc w:val="center"/>
            </w:pPr>
            <w:r>
              <w:rPr>
                <w:rFonts w:ascii="宋体" w:hAnsi="宋体" w:eastAsia="宋体" w:cs="宋体"/>
                <w:kern w:val="0"/>
                <w:sz w:val="24"/>
                <w:szCs w:val="24"/>
                <w:lang w:val="en-US" w:eastAsia="zh-CN" w:bidi="ar"/>
              </w:rPr>
              <w:t>5</w:t>
            </w:r>
          </w:p>
        </w:tc>
        <w:tc>
          <w:tcPr>
            <w:tcW w:w="3170" w:type="pct"/>
            <w:tcBorders>
              <w:tl2br w:val="nil"/>
              <w:tr2bl w:val="nil"/>
            </w:tcBorders>
            <w:shd w:val="clear" w:color="auto" w:fill="auto"/>
            <w:tcMar>
              <w:top w:w="120" w:type="dxa"/>
              <w:left w:w="120" w:type="dxa"/>
              <w:bottom w:w="120" w:type="dxa"/>
              <w:right w:w="120" w:type="dxa"/>
            </w:tcMar>
            <w:vAlign w:val="center"/>
          </w:tcPr>
          <w:p w14:paraId="58E8A71B">
            <w:pPr>
              <w:keepNext w:val="0"/>
              <w:keepLines w:val="0"/>
              <w:widowControl/>
              <w:suppressLineNumbers w:val="0"/>
              <w:jc w:val="left"/>
            </w:pPr>
            <w:r>
              <w:rPr>
                <w:rFonts w:ascii="宋体" w:hAnsi="宋体" w:eastAsia="宋体" w:cs="宋体"/>
                <w:kern w:val="0"/>
                <w:sz w:val="24"/>
                <w:szCs w:val="24"/>
                <w:lang w:val="en-US" w:eastAsia="zh-CN" w:bidi="ar"/>
              </w:rPr>
              <w:t>优（5 分）：针对施工期间干扰诊疗、物料损坏、现场安全、突发环境问题等编制完整应急预案；明确和院方沟通联动机制，组织、处置流程清晰，责任到人；良（3 分）：有应急预案，但部分环节可操作性一般；差（1 分）：预案内容空洞，缺少和院方联动机制。</w:t>
            </w:r>
          </w:p>
        </w:tc>
        <w:tc>
          <w:tcPr>
            <w:tcW w:w="399" w:type="pct"/>
            <w:tcBorders>
              <w:tl2br w:val="nil"/>
              <w:tr2bl w:val="nil"/>
            </w:tcBorders>
            <w:shd w:val="clear" w:color="auto" w:fill="auto"/>
            <w:tcMar>
              <w:top w:w="120" w:type="dxa"/>
              <w:left w:w="120" w:type="dxa"/>
              <w:bottom w:w="120" w:type="dxa"/>
              <w:right w:w="120" w:type="dxa"/>
            </w:tcMar>
            <w:vAlign w:val="center"/>
          </w:tcPr>
          <w:p w14:paraId="18179445">
            <w:pPr>
              <w:jc w:val="left"/>
              <w:rPr>
                <w:rFonts w:hint="eastAsia" w:ascii="宋体"/>
                <w:sz w:val="24"/>
                <w:szCs w:val="24"/>
              </w:rPr>
            </w:pPr>
          </w:p>
        </w:tc>
      </w:tr>
      <w:tr w14:paraId="22100B9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53BEFB8A">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48B290BA">
            <w:pPr>
              <w:keepNext w:val="0"/>
              <w:keepLines w:val="0"/>
              <w:widowControl/>
              <w:suppressLineNumbers w:val="0"/>
              <w:jc w:val="center"/>
            </w:pPr>
            <w:r>
              <w:rPr>
                <w:rFonts w:ascii="宋体" w:hAnsi="宋体" w:eastAsia="宋体" w:cs="宋体"/>
                <w:sz w:val="24"/>
                <w:szCs w:val="24"/>
              </w:rPr>
              <w:t>项目现状与需求研判理解程度</w:t>
            </w:r>
          </w:p>
        </w:tc>
        <w:tc>
          <w:tcPr>
            <w:tcW w:w="370" w:type="pct"/>
            <w:tcBorders>
              <w:tl2br w:val="nil"/>
              <w:tr2bl w:val="nil"/>
            </w:tcBorders>
            <w:shd w:val="clear" w:color="auto" w:fill="auto"/>
            <w:tcMar>
              <w:top w:w="120" w:type="dxa"/>
              <w:left w:w="120" w:type="dxa"/>
              <w:bottom w:w="120" w:type="dxa"/>
              <w:right w:w="120" w:type="dxa"/>
            </w:tcMar>
            <w:vAlign w:val="center"/>
          </w:tcPr>
          <w:p w14:paraId="71FCBFE6">
            <w:pPr>
              <w:keepNext w:val="0"/>
              <w:keepLines w:val="0"/>
              <w:widowControl/>
              <w:suppressLineNumbers w:val="0"/>
              <w:jc w:val="center"/>
            </w:pPr>
            <w:r>
              <w:rPr>
                <w:rFonts w:ascii="宋体" w:hAnsi="宋体" w:eastAsia="宋体" w:cs="宋体"/>
                <w:kern w:val="0"/>
                <w:sz w:val="24"/>
                <w:szCs w:val="24"/>
                <w:lang w:val="en-US" w:eastAsia="zh-CN" w:bidi="ar"/>
              </w:rPr>
              <w:t>4</w:t>
            </w:r>
          </w:p>
        </w:tc>
        <w:tc>
          <w:tcPr>
            <w:tcW w:w="3170" w:type="pct"/>
            <w:tcBorders>
              <w:tl2br w:val="nil"/>
              <w:tr2bl w:val="nil"/>
            </w:tcBorders>
            <w:shd w:val="clear" w:color="auto" w:fill="auto"/>
            <w:tcMar>
              <w:top w:w="120" w:type="dxa"/>
              <w:left w:w="120" w:type="dxa"/>
              <w:bottom w:w="120" w:type="dxa"/>
              <w:right w:w="120" w:type="dxa"/>
            </w:tcMar>
            <w:vAlign w:val="center"/>
          </w:tcPr>
          <w:p w14:paraId="46258F72">
            <w:pPr>
              <w:keepNext w:val="0"/>
              <w:keepLines w:val="0"/>
              <w:widowControl/>
              <w:suppressLineNumbers w:val="0"/>
              <w:jc w:val="left"/>
            </w:pPr>
            <w:r>
              <w:rPr>
                <w:rFonts w:ascii="宋体" w:hAnsi="宋体" w:eastAsia="宋体" w:cs="宋体"/>
                <w:sz w:val="24"/>
                <w:szCs w:val="24"/>
              </w:rPr>
              <w:t>评委会结合投标文件对本项目背景、医院科室现状、采购约束条件、使用需求的研判理解进行综合评议：优（4 分）：对中医科科室现状、项目约束条件理解透彻，设计方案充分结合项目实际约束条件，方案适配性高，无脱离实际的设计内容；良（2 分）：对项目需求理解基本准确，方案与项目实际条件匹配较好，无明显偏差；一般（1 分）：对项目约束条件理解存在偏差，方案与项目实际条件存在出入。</w:t>
            </w:r>
          </w:p>
        </w:tc>
        <w:tc>
          <w:tcPr>
            <w:tcW w:w="399" w:type="pct"/>
            <w:tcBorders>
              <w:tl2br w:val="nil"/>
              <w:tr2bl w:val="nil"/>
            </w:tcBorders>
            <w:shd w:val="clear" w:color="auto" w:fill="auto"/>
            <w:tcMar>
              <w:top w:w="120" w:type="dxa"/>
              <w:left w:w="120" w:type="dxa"/>
              <w:bottom w:w="120" w:type="dxa"/>
              <w:right w:w="120" w:type="dxa"/>
            </w:tcMar>
            <w:vAlign w:val="center"/>
          </w:tcPr>
          <w:p w14:paraId="5C384AEA">
            <w:pPr>
              <w:jc w:val="left"/>
              <w:rPr>
                <w:rFonts w:hint="eastAsia" w:ascii="宋体"/>
                <w:sz w:val="24"/>
                <w:szCs w:val="24"/>
              </w:rPr>
            </w:pPr>
          </w:p>
        </w:tc>
      </w:tr>
      <w:tr w14:paraId="57411E18">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421" w:type="pct"/>
            <w:vMerge w:val="restart"/>
            <w:tcBorders>
              <w:tl2br w:val="nil"/>
              <w:tr2bl w:val="nil"/>
            </w:tcBorders>
            <w:shd w:val="clear" w:color="auto" w:fill="auto"/>
            <w:tcMar>
              <w:top w:w="120" w:type="dxa"/>
              <w:left w:w="120" w:type="dxa"/>
              <w:bottom w:w="120" w:type="dxa"/>
              <w:right w:w="120" w:type="dxa"/>
            </w:tcMar>
            <w:vAlign w:val="center"/>
          </w:tcPr>
          <w:p w14:paraId="04BF53C0">
            <w:pPr>
              <w:keepNext w:val="0"/>
              <w:keepLines w:val="0"/>
              <w:widowControl/>
              <w:suppressLineNumbers w:val="0"/>
              <w:jc w:val="center"/>
            </w:pPr>
            <w:r>
              <w:rPr>
                <w:rFonts w:ascii="宋体" w:hAnsi="宋体" w:eastAsia="宋体" w:cs="宋体"/>
                <w:kern w:val="0"/>
                <w:sz w:val="24"/>
                <w:szCs w:val="24"/>
                <w:lang w:val="en-US" w:eastAsia="zh-CN" w:bidi="ar"/>
              </w:rPr>
              <w:t>商务部分 20 分</w:t>
            </w:r>
          </w:p>
        </w:tc>
        <w:tc>
          <w:tcPr>
            <w:tcW w:w="638" w:type="pct"/>
            <w:tcBorders>
              <w:tl2br w:val="nil"/>
              <w:tr2bl w:val="nil"/>
            </w:tcBorders>
            <w:shd w:val="clear" w:color="auto" w:fill="auto"/>
            <w:tcMar>
              <w:top w:w="120" w:type="dxa"/>
              <w:left w:w="120" w:type="dxa"/>
              <w:bottom w:w="120" w:type="dxa"/>
              <w:right w:w="120" w:type="dxa"/>
            </w:tcMar>
            <w:vAlign w:val="center"/>
          </w:tcPr>
          <w:p w14:paraId="6645871D">
            <w:pPr>
              <w:keepNext w:val="0"/>
              <w:keepLines w:val="0"/>
              <w:widowControl/>
              <w:suppressLineNumbers w:val="0"/>
              <w:jc w:val="center"/>
            </w:pPr>
            <w:r>
              <w:rPr>
                <w:rFonts w:ascii="宋体" w:hAnsi="宋体" w:eastAsia="宋体" w:cs="宋体"/>
                <w:kern w:val="0"/>
                <w:sz w:val="24"/>
                <w:szCs w:val="24"/>
                <w:lang w:val="en-US" w:eastAsia="zh-CN" w:bidi="ar"/>
              </w:rPr>
              <w:t>企业管理体系认证</w:t>
            </w:r>
          </w:p>
        </w:tc>
        <w:tc>
          <w:tcPr>
            <w:tcW w:w="370" w:type="pct"/>
            <w:tcBorders>
              <w:tl2br w:val="nil"/>
              <w:tr2bl w:val="nil"/>
            </w:tcBorders>
            <w:shd w:val="clear" w:color="auto" w:fill="auto"/>
            <w:tcMar>
              <w:top w:w="120" w:type="dxa"/>
              <w:left w:w="120" w:type="dxa"/>
              <w:bottom w:w="120" w:type="dxa"/>
              <w:right w:w="120" w:type="dxa"/>
            </w:tcMar>
            <w:vAlign w:val="center"/>
          </w:tcPr>
          <w:p w14:paraId="5F72BC3E">
            <w:pPr>
              <w:keepNext w:val="0"/>
              <w:keepLines w:val="0"/>
              <w:widowControl/>
              <w:suppressLineNumbers w:val="0"/>
              <w:jc w:val="center"/>
            </w:pPr>
            <w:r>
              <w:rPr>
                <w:rFonts w:ascii="宋体" w:hAnsi="宋体" w:eastAsia="宋体" w:cs="宋体"/>
                <w:kern w:val="0"/>
                <w:sz w:val="24"/>
                <w:szCs w:val="24"/>
                <w:lang w:val="en-US" w:eastAsia="zh-CN" w:bidi="ar"/>
              </w:rPr>
              <w:t>6</w:t>
            </w:r>
          </w:p>
        </w:tc>
        <w:tc>
          <w:tcPr>
            <w:tcW w:w="3170" w:type="pct"/>
            <w:tcBorders>
              <w:tl2br w:val="nil"/>
              <w:tr2bl w:val="nil"/>
            </w:tcBorders>
            <w:shd w:val="clear" w:color="auto" w:fill="auto"/>
            <w:tcMar>
              <w:top w:w="120" w:type="dxa"/>
              <w:left w:w="120" w:type="dxa"/>
              <w:bottom w:w="120" w:type="dxa"/>
              <w:right w:w="120" w:type="dxa"/>
            </w:tcMar>
            <w:vAlign w:val="center"/>
          </w:tcPr>
          <w:p w14:paraId="4D4607B0">
            <w:pPr>
              <w:keepNext w:val="0"/>
              <w:keepLines w:val="0"/>
              <w:widowControl/>
              <w:suppressLineNumbers w:val="0"/>
              <w:jc w:val="left"/>
            </w:pPr>
            <w:r>
              <w:rPr>
                <w:rFonts w:ascii="宋体" w:hAnsi="宋体" w:eastAsia="宋体" w:cs="宋体"/>
                <w:kern w:val="0"/>
                <w:sz w:val="24"/>
                <w:szCs w:val="24"/>
                <w:lang w:val="en-US" w:eastAsia="zh-CN" w:bidi="ar"/>
              </w:rPr>
              <w:t>1. 具备有效的 ISO9001 质量管理体系认证证书，得 2 分；2. 具备有效的 ISO14001 环境管理体系认证证书，得 2 分；3. 具备有效的 ISO45001 职业健康安全管理体系认证证书，得 2 分。（提供加盖公章证书复印件）</w:t>
            </w:r>
          </w:p>
        </w:tc>
        <w:tc>
          <w:tcPr>
            <w:tcW w:w="399" w:type="pct"/>
            <w:tcBorders>
              <w:tl2br w:val="nil"/>
              <w:tr2bl w:val="nil"/>
            </w:tcBorders>
            <w:shd w:val="clear" w:color="auto" w:fill="auto"/>
            <w:tcMar>
              <w:top w:w="120" w:type="dxa"/>
              <w:left w:w="120" w:type="dxa"/>
              <w:bottom w:w="120" w:type="dxa"/>
              <w:right w:w="120" w:type="dxa"/>
            </w:tcMar>
            <w:vAlign w:val="center"/>
          </w:tcPr>
          <w:p w14:paraId="457629BF">
            <w:pPr>
              <w:jc w:val="left"/>
              <w:rPr>
                <w:rFonts w:hint="eastAsia" w:ascii="宋体"/>
                <w:sz w:val="24"/>
                <w:szCs w:val="24"/>
              </w:rPr>
            </w:pPr>
          </w:p>
        </w:tc>
      </w:tr>
      <w:tr w14:paraId="5EF62CB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71C70EC9">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2FB35A5E">
            <w:pPr>
              <w:keepNext w:val="0"/>
              <w:keepLines w:val="0"/>
              <w:widowControl/>
              <w:suppressLineNumbers w:val="0"/>
              <w:jc w:val="center"/>
            </w:pPr>
            <w:r>
              <w:rPr>
                <w:rFonts w:ascii="宋体" w:hAnsi="宋体" w:eastAsia="宋体" w:cs="宋体"/>
                <w:kern w:val="0"/>
                <w:sz w:val="24"/>
                <w:szCs w:val="24"/>
                <w:lang w:val="en-US" w:eastAsia="zh-CN" w:bidi="ar"/>
              </w:rPr>
              <w:t>企业相关资质</w:t>
            </w:r>
          </w:p>
        </w:tc>
        <w:tc>
          <w:tcPr>
            <w:tcW w:w="370" w:type="pct"/>
            <w:tcBorders>
              <w:tl2br w:val="nil"/>
              <w:tr2bl w:val="nil"/>
            </w:tcBorders>
            <w:shd w:val="clear" w:color="auto" w:fill="auto"/>
            <w:tcMar>
              <w:top w:w="120" w:type="dxa"/>
              <w:left w:w="120" w:type="dxa"/>
              <w:bottom w:w="120" w:type="dxa"/>
              <w:right w:w="120" w:type="dxa"/>
            </w:tcMar>
            <w:vAlign w:val="center"/>
          </w:tcPr>
          <w:p w14:paraId="2D196BEA">
            <w:pPr>
              <w:keepNext w:val="0"/>
              <w:keepLines w:val="0"/>
              <w:widowControl/>
              <w:suppressLineNumbers w:val="0"/>
              <w:jc w:val="center"/>
            </w:pPr>
            <w:r>
              <w:rPr>
                <w:rFonts w:ascii="宋体" w:hAnsi="宋体" w:eastAsia="宋体" w:cs="宋体"/>
                <w:kern w:val="0"/>
                <w:sz w:val="24"/>
                <w:szCs w:val="24"/>
                <w:lang w:val="en-US" w:eastAsia="zh-CN" w:bidi="ar"/>
              </w:rPr>
              <w:t>2</w:t>
            </w:r>
          </w:p>
        </w:tc>
        <w:tc>
          <w:tcPr>
            <w:tcW w:w="3170" w:type="pct"/>
            <w:tcBorders>
              <w:tl2br w:val="nil"/>
              <w:tr2bl w:val="nil"/>
            </w:tcBorders>
            <w:shd w:val="clear" w:color="auto" w:fill="auto"/>
            <w:tcMar>
              <w:top w:w="120" w:type="dxa"/>
              <w:left w:w="120" w:type="dxa"/>
              <w:bottom w:w="120" w:type="dxa"/>
              <w:right w:w="120" w:type="dxa"/>
            </w:tcMar>
            <w:vAlign w:val="center"/>
          </w:tcPr>
          <w:p w14:paraId="3B8CC33C">
            <w:pPr>
              <w:keepNext w:val="0"/>
              <w:keepLines w:val="0"/>
              <w:widowControl/>
              <w:suppressLineNumbers w:val="0"/>
              <w:jc w:val="left"/>
            </w:pPr>
            <w:r>
              <w:rPr>
                <w:rFonts w:ascii="宋体" w:hAnsi="宋体" w:eastAsia="宋体" w:cs="宋体"/>
                <w:kern w:val="0"/>
                <w:sz w:val="24"/>
                <w:szCs w:val="24"/>
                <w:lang w:val="en-US" w:eastAsia="zh-CN" w:bidi="ar"/>
              </w:rPr>
              <w:t>投标人具备建筑装修装饰工程专业承包三级及以上资质，得 2 分；（提供资质证书加盖公章复印件）</w:t>
            </w:r>
          </w:p>
        </w:tc>
        <w:tc>
          <w:tcPr>
            <w:tcW w:w="399" w:type="pct"/>
            <w:tcBorders>
              <w:tl2br w:val="nil"/>
              <w:tr2bl w:val="nil"/>
            </w:tcBorders>
            <w:shd w:val="clear" w:color="auto" w:fill="auto"/>
            <w:tcMar>
              <w:top w:w="120" w:type="dxa"/>
              <w:left w:w="120" w:type="dxa"/>
              <w:bottom w:w="120" w:type="dxa"/>
              <w:right w:w="120" w:type="dxa"/>
            </w:tcMar>
            <w:vAlign w:val="center"/>
          </w:tcPr>
          <w:p w14:paraId="20A60BA4">
            <w:pPr>
              <w:jc w:val="left"/>
              <w:rPr>
                <w:rFonts w:hint="eastAsia" w:ascii="宋体"/>
                <w:sz w:val="24"/>
                <w:szCs w:val="24"/>
              </w:rPr>
            </w:pPr>
          </w:p>
        </w:tc>
      </w:tr>
      <w:tr w14:paraId="299157C2">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4F065E80">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77681BD2">
            <w:pPr>
              <w:keepNext w:val="0"/>
              <w:keepLines w:val="0"/>
              <w:widowControl/>
              <w:suppressLineNumbers w:val="0"/>
              <w:jc w:val="center"/>
            </w:pPr>
            <w:r>
              <w:rPr>
                <w:rFonts w:ascii="宋体" w:hAnsi="宋体" w:eastAsia="宋体" w:cs="宋体"/>
                <w:kern w:val="0"/>
                <w:sz w:val="24"/>
                <w:szCs w:val="24"/>
                <w:lang w:val="en-US" w:eastAsia="zh-CN" w:bidi="ar"/>
              </w:rPr>
              <w:t>本地化服务能力</w:t>
            </w:r>
          </w:p>
        </w:tc>
        <w:tc>
          <w:tcPr>
            <w:tcW w:w="370" w:type="pct"/>
            <w:tcBorders>
              <w:tl2br w:val="nil"/>
              <w:tr2bl w:val="nil"/>
            </w:tcBorders>
            <w:shd w:val="clear" w:color="auto" w:fill="auto"/>
            <w:tcMar>
              <w:top w:w="120" w:type="dxa"/>
              <w:left w:w="120" w:type="dxa"/>
              <w:bottom w:w="120" w:type="dxa"/>
              <w:right w:w="120" w:type="dxa"/>
            </w:tcMar>
            <w:vAlign w:val="center"/>
          </w:tcPr>
          <w:p w14:paraId="6E49BD9F">
            <w:pPr>
              <w:keepNext w:val="0"/>
              <w:keepLines w:val="0"/>
              <w:widowControl/>
              <w:suppressLineNumbers w:val="0"/>
              <w:jc w:val="center"/>
            </w:pPr>
            <w:r>
              <w:rPr>
                <w:rFonts w:ascii="宋体" w:hAnsi="宋体" w:eastAsia="宋体" w:cs="宋体"/>
                <w:kern w:val="0"/>
                <w:sz w:val="24"/>
                <w:szCs w:val="24"/>
                <w:lang w:val="en-US" w:eastAsia="zh-CN" w:bidi="ar"/>
              </w:rPr>
              <w:t>4</w:t>
            </w:r>
          </w:p>
        </w:tc>
        <w:tc>
          <w:tcPr>
            <w:tcW w:w="3170" w:type="pct"/>
            <w:tcBorders>
              <w:tl2br w:val="nil"/>
              <w:tr2bl w:val="nil"/>
            </w:tcBorders>
            <w:shd w:val="clear" w:color="auto" w:fill="auto"/>
            <w:tcMar>
              <w:top w:w="120" w:type="dxa"/>
              <w:left w:w="120" w:type="dxa"/>
              <w:bottom w:w="120" w:type="dxa"/>
              <w:right w:w="120" w:type="dxa"/>
            </w:tcMar>
            <w:vAlign w:val="center"/>
          </w:tcPr>
          <w:p w14:paraId="17545E91">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售后服务保障方案：针对本项目质保期内故障处置、维修更换、回访巡检编制完整售后服务方案，方案完善、流程清晰、保障措施充分得 2 分；方案基本完整得 1 分；方案简陋缺项不得分。</w:t>
            </w:r>
          </w:p>
          <w:p w14:paraId="41F5B447">
            <w:pPr>
              <w:keepNext w:val="0"/>
              <w:keepLines w:val="0"/>
              <w:widowControl/>
              <w:suppressLineNumbers w:val="0"/>
              <w:jc w:val="left"/>
            </w:pPr>
            <w:r>
              <w:rPr>
                <w:rFonts w:ascii="宋体" w:hAnsi="宋体" w:eastAsia="宋体" w:cs="宋体"/>
                <w:kern w:val="0"/>
                <w:sz w:val="24"/>
                <w:szCs w:val="24"/>
                <w:lang w:val="en-US" w:eastAsia="zh-CN" w:bidi="ar"/>
              </w:rPr>
              <w:t>应急响应承诺：承诺提供 7×24 小时电话技术支持；接到故障报修后，4 小时内安排技术人员到达项目现场处置，提供加盖公章书面承诺函得 2 分；仅承诺 7×24 小时电话支持、未承诺现场到达时效得 1 分；未提供承诺不得分。</w:t>
            </w:r>
            <w:bookmarkStart w:id="0" w:name="_GoBack"/>
            <w:bookmarkEnd w:id="0"/>
          </w:p>
        </w:tc>
        <w:tc>
          <w:tcPr>
            <w:tcW w:w="399" w:type="pct"/>
            <w:tcBorders>
              <w:tl2br w:val="nil"/>
              <w:tr2bl w:val="nil"/>
            </w:tcBorders>
            <w:shd w:val="clear" w:color="auto" w:fill="auto"/>
            <w:tcMar>
              <w:top w:w="120" w:type="dxa"/>
              <w:left w:w="120" w:type="dxa"/>
              <w:bottom w:w="120" w:type="dxa"/>
              <w:right w:w="120" w:type="dxa"/>
            </w:tcMar>
            <w:vAlign w:val="center"/>
          </w:tcPr>
          <w:p w14:paraId="6805F0EF">
            <w:pPr>
              <w:jc w:val="left"/>
              <w:rPr>
                <w:rFonts w:hint="eastAsia" w:ascii="宋体"/>
                <w:sz w:val="24"/>
                <w:szCs w:val="24"/>
              </w:rPr>
            </w:pPr>
          </w:p>
        </w:tc>
      </w:tr>
      <w:tr w14:paraId="545395E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771690C5">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4D9106D7">
            <w:pPr>
              <w:keepNext w:val="0"/>
              <w:keepLines w:val="0"/>
              <w:widowControl/>
              <w:suppressLineNumbers w:val="0"/>
              <w:jc w:val="center"/>
            </w:pPr>
            <w:r>
              <w:rPr>
                <w:rFonts w:ascii="宋体" w:hAnsi="宋体" w:eastAsia="宋体" w:cs="宋体"/>
                <w:kern w:val="0"/>
                <w:sz w:val="24"/>
                <w:szCs w:val="24"/>
                <w:lang w:val="en-US" w:eastAsia="zh-CN" w:bidi="ar"/>
              </w:rPr>
              <w:t>类似项目业绩</w:t>
            </w:r>
          </w:p>
        </w:tc>
        <w:tc>
          <w:tcPr>
            <w:tcW w:w="370" w:type="pct"/>
            <w:tcBorders>
              <w:tl2br w:val="nil"/>
              <w:tr2bl w:val="nil"/>
            </w:tcBorders>
            <w:shd w:val="clear" w:color="auto" w:fill="auto"/>
            <w:tcMar>
              <w:top w:w="120" w:type="dxa"/>
              <w:left w:w="120" w:type="dxa"/>
              <w:bottom w:w="120" w:type="dxa"/>
              <w:right w:w="120" w:type="dxa"/>
            </w:tcMar>
            <w:vAlign w:val="center"/>
          </w:tcPr>
          <w:p w14:paraId="34506CB7">
            <w:pPr>
              <w:keepNext w:val="0"/>
              <w:keepLines w:val="0"/>
              <w:widowControl/>
              <w:suppressLineNumbers w:val="0"/>
              <w:jc w:val="center"/>
            </w:pPr>
            <w:r>
              <w:rPr>
                <w:rFonts w:ascii="宋体" w:hAnsi="宋体" w:eastAsia="宋体" w:cs="宋体"/>
                <w:kern w:val="0"/>
                <w:sz w:val="24"/>
                <w:szCs w:val="24"/>
                <w:lang w:val="en-US" w:eastAsia="zh-CN" w:bidi="ar"/>
              </w:rPr>
              <w:t>6</w:t>
            </w:r>
          </w:p>
        </w:tc>
        <w:tc>
          <w:tcPr>
            <w:tcW w:w="3170" w:type="pct"/>
            <w:tcBorders>
              <w:tl2br w:val="nil"/>
              <w:tr2bl w:val="nil"/>
            </w:tcBorders>
            <w:shd w:val="clear" w:color="auto" w:fill="auto"/>
            <w:tcMar>
              <w:top w:w="120" w:type="dxa"/>
              <w:left w:w="120" w:type="dxa"/>
              <w:bottom w:w="120" w:type="dxa"/>
              <w:right w:w="120" w:type="dxa"/>
            </w:tcMar>
            <w:vAlign w:val="center"/>
          </w:tcPr>
          <w:p w14:paraId="3C9C74D3">
            <w:pPr>
              <w:keepNext w:val="0"/>
              <w:keepLines w:val="0"/>
              <w:widowControl/>
              <w:suppressLineNumbers w:val="0"/>
              <w:jc w:val="left"/>
            </w:pPr>
            <w:r>
              <w:rPr>
                <w:rFonts w:ascii="宋体" w:hAnsi="宋体" w:eastAsia="宋体" w:cs="宋体"/>
                <w:kern w:val="0"/>
                <w:sz w:val="24"/>
                <w:szCs w:val="24"/>
                <w:lang w:val="en-US" w:eastAsia="zh-CN" w:bidi="ar"/>
              </w:rPr>
              <w:t>提供 2023 年 1 月 1 日以来医院中医科室文化提升、医院标识软装、医疗空间文化装饰类</w:t>
            </w:r>
            <w:r>
              <w:rPr>
                <w:rFonts w:hint="eastAsia" w:ascii="宋体" w:hAnsi="宋体" w:eastAsia="宋体" w:cs="宋体"/>
                <w:kern w:val="0"/>
                <w:sz w:val="24"/>
                <w:szCs w:val="24"/>
                <w:lang w:val="en-US" w:eastAsia="zh-CN" w:bidi="ar"/>
              </w:rPr>
              <w:t>相似</w:t>
            </w:r>
            <w:r>
              <w:rPr>
                <w:rFonts w:ascii="宋体" w:hAnsi="宋体" w:eastAsia="宋体" w:cs="宋体"/>
                <w:kern w:val="0"/>
                <w:sz w:val="24"/>
                <w:szCs w:val="24"/>
                <w:lang w:val="en-US" w:eastAsia="zh-CN" w:bidi="ar"/>
              </w:rPr>
              <w:t>项目业绩：1. 单项合同金额≥8 万元的，每 1 个业绩得 2 分；2. 单项合同金额＜8 万元的，每 1 个业绩得 1 分；本项最高得 6 分。需提供合同关键页（首页、金额页、签章页、体现项目内容页面）复印件；未提供完整合同关键页不予计分。</w:t>
            </w:r>
          </w:p>
        </w:tc>
        <w:tc>
          <w:tcPr>
            <w:tcW w:w="399" w:type="pct"/>
            <w:tcBorders>
              <w:tl2br w:val="nil"/>
              <w:tr2bl w:val="nil"/>
            </w:tcBorders>
            <w:shd w:val="clear" w:color="auto" w:fill="auto"/>
            <w:tcMar>
              <w:top w:w="120" w:type="dxa"/>
              <w:left w:w="120" w:type="dxa"/>
              <w:bottom w:w="120" w:type="dxa"/>
              <w:right w:w="120" w:type="dxa"/>
            </w:tcMar>
            <w:vAlign w:val="center"/>
          </w:tcPr>
          <w:p w14:paraId="61A23BF4">
            <w:pPr>
              <w:jc w:val="left"/>
              <w:rPr>
                <w:rFonts w:hint="eastAsia" w:ascii="宋体"/>
                <w:sz w:val="24"/>
                <w:szCs w:val="24"/>
              </w:rPr>
            </w:pPr>
          </w:p>
        </w:tc>
      </w:tr>
      <w:tr w14:paraId="128BEB1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c>
          <w:tcPr>
            <w:tcW w:w="421" w:type="pct"/>
            <w:vMerge w:val="continue"/>
            <w:tcBorders>
              <w:tl2br w:val="nil"/>
              <w:tr2bl w:val="nil"/>
            </w:tcBorders>
            <w:shd w:val="clear" w:color="auto" w:fill="auto"/>
            <w:tcMar>
              <w:top w:w="120" w:type="dxa"/>
              <w:left w:w="120" w:type="dxa"/>
              <w:bottom w:w="120" w:type="dxa"/>
              <w:right w:w="120" w:type="dxa"/>
            </w:tcMar>
            <w:vAlign w:val="center"/>
          </w:tcPr>
          <w:p w14:paraId="74212C87">
            <w:pPr>
              <w:jc w:val="center"/>
              <w:rPr>
                <w:rFonts w:hint="eastAsia" w:ascii="宋体"/>
                <w:sz w:val="24"/>
                <w:szCs w:val="24"/>
              </w:rPr>
            </w:pPr>
          </w:p>
        </w:tc>
        <w:tc>
          <w:tcPr>
            <w:tcW w:w="638" w:type="pct"/>
            <w:tcBorders>
              <w:tl2br w:val="nil"/>
              <w:tr2bl w:val="nil"/>
            </w:tcBorders>
            <w:shd w:val="clear" w:color="auto" w:fill="auto"/>
            <w:tcMar>
              <w:top w:w="120" w:type="dxa"/>
              <w:left w:w="120" w:type="dxa"/>
              <w:bottom w:w="120" w:type="dxa"/>
              <w:right w:w="120" w:type="dxa"/>
            </w:tcMar>
            <w:vAlign w:val="center"/>
          </w:tcPr>
          <w:p w14:paraId="2E6F4EDD">
            <w:pPr>
              <w:keepNext w:val="0"/>
              <w:keepLines w:val="0"/>
              <w:widowControl/>
              <w:suppressLineNumbers w:val="0"/>
              <w:jc w:val="center"/>
            </w:pPr>
            <w:r>
              <w:rPr>
                <w:rFonts w:ascii="宋体" w:hAnsi="宋体" w:eastAsia="宋体" w:cs="宋体"/>
                <w:kern w:val="0"/>
                <w:sz w:val="24"/>
                <w:szCs w:val="24"/>
                <w:lang w:val="en-US" w:eastAsia="zh-CN" w:bidi="ar"/>
              </w:rPr>
              <w:t>人员保险及安全责任承诺</w:t>
            </w:r>
          </w:p>
        </w:tc>
        <w:tc>
          <w:tcPr>
            <w:tcW w:w="370" w:type="pct"/>
            <w:tcBorders>
              <w:tl2br w:val="nil"/>
              <w:tr2bl w:val="nil"/>
            </w:tcBorders>
            <w:shd w:val="clear" w:color="auto" w:fill="auto"/>
            <w:tcMar>
              <w:top w:w="120" w:type="dxa"/>
              <w:left w:w="120" w:type="dxa"/>
              <w:bottom w:w="120" w:type="dxa"/>
              <w:right w:w="120" w:type="dxa"/>
            </w:tcMar>
            <w:vAlign w:val="center"/>
          </w:tcPr>
          <w:p w14:paraId="571D88AC">
            <w:pPr>
              <w:keepNext w:val="0"/>
              <w:keepLines w:val="0"/>
              <w:widowControl/>
              <w:suppressLineNumbers w:val="0"/>
              <w:jc w:val="center"/>
            </w:pPr>
            <w:r>
              <w:rPr>
                <w:rFonts w:ascii="宋体" w:hAnsi="宋体" w:eastAsia="宋体" w:cs="宋体"/>
                <w:kern w:val="0"/>
                <w:sz w:val="24"/>
                <w:szCs w:val="24"/>
                <w:lang w:val="en-US" w:eastAsia="zh-CN" w:bidi="ar"/>
              </w:rPr>
              <w:t>2</w:t>
            </w:r>
          </w:p>
        </w:tc>
        <w:tc>
          <w:tcPr>
            <w:tcW w:w="3170" w:type="pct"/>
            <w:tcBorders>
              <w:tl2br w:val="nil"/>
              <w:tr2bl w:val="nil"/>
            </w:tcBorders>
            <w:shd w:val="clear" w:color="auto" w:fill="auto"/>
            <w:tcMar>
              <w:top w:w="120" w:type="dxa"/>
              <w:left w:w="120" w:type="dxa"/>
              <w:bottom w:w="120" w:type="dxa"/>
              <w:right w:w="120" w:type="dxa"/>
            </w:tcMar>
            <w:vAlign w:val="center"/>
          </w:tcPr>
          <w:p w14:paraId="0484FE32">
            <w:pPr>
              <w:keepNext w:val="0"/>
              <w:keepLines w:val="0"/>
              <w:widowControl/>
              <w:suppressLineNumbers w:val="0"/>
              <w:jc w:val="left"/>
            </w:pPr>
            <w:r>
              <w:rPr>
                <w:rFonts w:ascii="宋体" w:hAnsi="宋体" w:eastAsia="宋体" w:cs="宋体"/>
                <w:kern w:val="0"/>
                <w:sz w:val="24"/>
                <w:szCs w:val="24"/>
                <w:lang w:val="en-US" w:eastAsia="zh-CN" w:bidi="ar"/>
              </w:rPr>
              <w:t>投标人承诺中标后为本项目全部进场作业人员购买人身意外伤害保险，保险覆盖全部项目工期，承诺承担全部现场施工安全责任，得 2 分；须提供加盖公章书面承诺函。</w:t>
            </w:r>
          </w:p>
        </w:tc>
        <w:tc>
          <w:tcPr>
            <w:tcW w:w="399" w:type="pct"/>
            <w:tcBorders>
              <w:tl2br w:val="nil"/>
              <w:tr2bl w:val="nil"/>
            </w:tcBorders>
            <w:shd w:val="clear" w:color="auto" w:fill="auto"/>
            <w:tcMar>
              <w:top w:w="120" w:type="dxa"/>
              <w:left w:w="120" w:type="dxa"/>
              <w:bottom w:w="120" w:type="dxa"/>
              <w:right w:w="120" w:type="dxa"/>
            </w:tcMar>
            <w:vAlign w:val="center"/>
          </w:tcPr>
          <w:p w14:paraId="4C51C7EB">
            <w:pPr>
              <w:jc w:val="left"/>
              <w:rPr>
                <w:rFonts w:hint="eastAsia" w:ascii="宋体"/>
                <w:sz w:val="24"/>
                <w:szCs w:val="24"/>
              </w:rPr>
            </w:pPr>
          </w:p>
        </w:tc>
      </w:tr>
      <w:tr w14:paraId="7BA0B226">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c>
          <w:tcPr>
            <w:tcW w:w="421" w:type="pct"/>
            <w:tcBorders>
              <w:tl2br w:val="nil"/>
              <w:tr2bl w:val="nil"/>
            </w:tcBorders>
            <w:shd w:val="clear" w:color="auto" w:fill="auto"/>
            <w:tcMar>
              <w:top w:w="120" w:type="dxa"/>
              <w:left w:w="120" w:type="dxa"/>
              <w:bottom w:w="120" w:type="dxa"/>
              <w:right w:w="120" w:type="dxa"/>
            </w:tcMar>
            <w:vAlign w:val="center"/>
          </w:tcPr>
          <w:p w14:paraId="7F471E51">
            <w:pPr>
              <w:keepNext w:val="0"/>
              <w:keepLines w:val="0"/>
              <w:widowControl/>
              <w:suppressLineNumbers w:val="0"/>
              <w:jc w:val="center"/>
            </w:pPr>
            <w:r>
              <w:rPr>
                <w:rFonts w:ascii="宋体" w:hAnsi="宋体" w:eastAsia="宋体" w:cs="宋体"/>
                <w:kern w:val="0"/>
                <w:sz w:val="24"/>
                <w:szCs w:val="24"/>
                <w:lang w:val="en-US" w:eastAsia="zh-CN" w:bidi="ar"/>
              </w:rPr>
              <w:t>报价部分 25 分</w:t>
            </w:r>
          </w:p>
        </w:tc>
        <w:tc>
          <w:tcPr>
            <w:tcW w:w="638" w:type="pct"/>
            <w:tcBorders>
              <w:tl2br w:val="nil"/>
              <w:tr2bl w:val="nil"/>
            </w:tcBorders>
            <w:shd w:val="clear" w:color="auto" w:fill="auto"/>
            <w:tcMar>
              <w:top w:w="120" w:type="dxa"/>
              <w:left w:w="120" w:type="dxa"/>
              <w:bottom w:w="120" w:type="dxa"/>
              <w:right w:w="120" w:type="dxa"/>
            </w:tcMar>
            <w:vAlign w:val="center"/>
          </w:tcPr>
          <w:p w14:paraId="08BC6E21">
            <w:pPr>
              <w:keepNext w:val="0"/>
              <w:keepLines w:val="0"/>
              <w:widowControl/>
              <w:suppressLineNumbers w:val="0"/>
              <w:jc w:val="center"/>
            </w:pPr>
            <w:r>
              <w:rPr>
                <w:rFonts w:ascii="宋体" w:hAnsi="宋体" w:eastAsia="宋体" w:cs="宋体"/>
                <w:kern w:val="0"/>
                <w:sz w:val="24"/>
                <w:szCs w:val="24"/>
                <w:lang w:val="en-US" w:eastAsia="zh-CN" w:bidi="ar"/>
              </w:rPr>
              <w:t>投标报价</w:t>
            </w:r>
          </w:p>
        </w:tc>
        <w:tc>
          <w:tcPr>
            <w:tcW w:w="370" w:type="pct"/>
            <w:tcBorders>
              <w:tl2br w:val="nil"/>
              <w:tr2bl w:val="nil"/>
            </w:tcBorders>
            <w:shd w:val="clear" w:color="auto" w:fill="auto"/>
            <w:tcMar>
              <w:top w:w="120" w:type="dxa"/>
              <w:left w:w="120" w:type="dxa"/>
              <w:bottom w:w="120" w:type="dxa"/>
              <w:right w:w="120" w:type="dxa"/>
            </w:tcMar>
            <w:vAlign w:val="center"/>
          </w:tcPr>
          <w:p w14:paraId="6F27700E">
            <w:pPr>
              <w:keepNext w:val="0"/>
              <w:keepLines w:val="0"/>
              <w:widowControl/>
              <w:suppressLineNumbers w:val="0"/>
              <w:jc w:val="center"/>
            </w:pPr>
            <w:r>
              <w:rPr>
                <w:rFonts w:ascii="宋体" w:hAnsi="宋体" w:eastAsia="宋体" w:cs="宋体"/>
                <w:kern w:val="0"/>
                <w:sz w:val="24"/>
                <w:szCs w:val="24"/>
                <w:lang w:val="en-US" w:eastAsia="zh-CN" w:bidi="ar"/>
              </w:rPr>
              <w:t>25</w:t>
            </w:r>
          </w:p>
        </w:tc>
        <w:tc>
          <w:tcPr>
            <w:tcW w:w="3170" w:type="pct"/>
            <w:tcBorders>
              <w:tl2br w:val="nil"/>
              <w:tr2bl w:val="nil"/>
            </w:tcBorders>
            <w:shd w:val="clear" w:color="auto" w:fill="auto"/>
            <w:tcMar>
              <w:top w:w="120" w:type="dxa"/>
              <w:left w:w="120" w:type="dxa"/>
              <w:bottom w:w="120" w:type="dxa"/>
              <w:right w:w="120" w:type="dxa"/>
            </w:tcMar>
            <w:vAlign w:val="center"/>
          </w:tcPr>
          <w:p w14:paraId="026AF2D1">
            <w:pPr>
              <w:keepNext w:val="0"/>
              <w:keepLines w:val="0"/>
              <w:widowControl/>
              <w:suppressLineNumbers w:val="0"/>
              <w:jc w:val="left"/>
            </w:pPr>
            <w:r>
              <w:rPr>
                <w:rFonts w:ascii="宋体" w:hAnsi="宋体" w:eastAsia="宋体" w:cs="宋体"/>
                <w:kern w:val="0"/>
                <w:sz w:val="24"/>
                <w:szCs w:val="24"/>
                <w:lang w:val="en-US" w:eastAsia="zh-CN" w:bidi="ar"/>
              </w:rPr>
              <w:t>满足招标文件要求且通过资格审查、符合性审查的最低投标报价作为评标基准价，价格分得满分 25 分。投标报价得分 =(评标基准价 ÷ 投标报价)×25 分计算结果四舍五入保留小数点后两位。注：投标报价超过项目控制价 10 万元做无效投标处理；报价明显低于市场合理成本，且无法提供合理解释及佐证材料的，按无效投标处理。</w:t>
            </w:r>
          </w:p>
        </w:tc>
        <w:tc>
          <w:tcPr>
            <w:tcW w:w="399" w:type="pct"/>
            <w:tcBorders>
              <w:tl2br w:val="nil"/>
              <w:tr2bl w:val="nil"/>
            </w:tcBorders>
            <w:shd w:val="clear" w:color="auto" w:fill="auto"/>
            <w:tcMar>
              <w:top w:w="120" w:type="dxa"/>
              <w:left w:w="120" w:type="dxa"/>
              <w:bottom w:w="120" w:type="dxa"/>
              <w:right w:w="120" w:type="dxa"/>
            </w:tcMar>
            <w:vAlign w:val="center"/>
          </w:tcPr>
          <w:p w14:paraId="01343C19">
            <w:pPr>
              <w:jc w:val="left"/>
              <w:rPr>
                <w:rFonts w:hint="eastAsia" w:ascii="宋体"/>
                <w:sz w:val="24"/>
                <w:szCs w:val="24"/>
              </w:rPr>
            </w:pPr>
          </w:p>
        </w:tc>
      </w:tr>
    </w:tbl>
    <w:p w14:paraId="3A65D9D7"/>
    <w:sectPr>
      <w:pgSz w:w="11906" w:h="16838"/>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WZT-EN">
    <w:panose1 w:val="02000000000000000000"/>
    <w:charset w:val="86"/>
    <w:family w:val="auto"/>
    <w:pitch w:val="default"/>
    <w:sig w:usb0="0000000F" w:usb1="28810000" w:usb2="00000000" w:usb3="00000000" w:csb0="001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C94EDC"/>
    <w:multiLevelType w:val="singleLevel"/>
    <w:tmpl w:val="88C94ED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5945BF"/>
    <w:rsid w:val="1C720B0F"/>
    <w:rsid w:val="2A0767FC"/>
    <w:rsid w:val="3E1F291C"/>
    <w:rsid w:val="3FE32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keepNext w:val="0"/>
      <w:keepLines w:val="0"/>
      <w:widowControl w:val="0"/>
      <w:overflowPunct w:val="0"/>
      <w:topLinePunct/>
      <w:spacing w:beforeLines="0" w:beforeAutospacing="0" w:afterLines="0" w:afterAutospacing="0" w:line="240" w:lineRule="auto"/>
      <w:jc w:val="both"/>
      <w:outlineLvl w:val="2"/>
    </w:pPr>
    <w:rPr>
      <w:rFonts w:ascii="GWZT-EN" w:eastAsia="仿宋" w:cs="Times New Roman" w:hAnsiTheme="minorHAnsi"/>
      <w:kern w:val="2"/>
      <w:sz w:val="32"/>
      <w:szCs w:val="3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2900</Words>
  <Characters>2956</Characters>
  <Lines>0</Lines>
  <Paragraphs>0</Paragraphs>
  <TotalTime>199</TotalTime>
  <ScaleCrop>false</ScaleCrop>
  <LinksUpToDate>false</LinksUpToDate>
  <CharactersWithSpaces>3095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2026-09-01T03:34:00Z</dcterms:created>
  <dc:creator>bg25</dc:creator>
  <cp:lastModifiedBy>面朝大海</cp:lastModifiedBy>
  <dcterms:modified xsi:type="dcterms:W3CDTF">2026-09-01T08:08:05Z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eyJoZGlkIjoiZGQ3ZDEyYTU0YWI2OTUxYTRhZmZlMzlhZTk0NzYyNGMiLCJ1c2VySWQiOiIzODAyMDU3OTcifQ==</vt:lpwstr>
  </property>
  <property fmtid="{D5CDD505-2E9C-101B-9397-08002B2CF9AE}" pid="4" name="ICV">
    <vt:lpwstr>ED5B66585F184F2AB8172BEA0FC4F3A4_12</vt:lpwstr>
  </property>
</Properties>
</file>