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72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lang w:val="en-US" w:eastAsia="zh-CN"/>
        </w:rPr>
        <w:t>空调设施清洗、维修项目报价表及要求</w:t>
      </w:r>
    </w:p>
    <w:p w14:paraId="4D6E5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</w:rPr>
      </w:pPr>
    </w:p>
    <w:p w14:paraId="49BDC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表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3：</w:t>
      </w:r>
      <w:r>
        <w:rPr>
          <w:rFonts w:hint="eastAsia" w:ascii="宋体" w:hAnsi="宋体" w:eastAsia="宋体" w:cs="宋体"/>
          <w:b/>
          <w:sz w:val="32"/>
        </w:rPr>
        <w:t>年度巡检</w:t>
      </w:r>
      <w:r>
        <w:rPr>
          <w:rFonts w:hint="eastAsia" w:ascii="宋体" w:hAnsi="宋体" w:eastAsia="宋体" w:cs="宋体"/>
          <w:b/>
          <w:sz w:val="32"/>
          <w:lang w:eastAsia="zh-CN"/>
        </w:rPr>
        <w:t>、</w:t>
      </w:r>
      <w:r>
        <w:rPr>
          <w:rFonts w:hint="eastAsia" w:ascii="宋体" w:hAnsi="宋体" w:eastAsia="宋体" w:cs="宋体"/>
          <w:b/>
          <w:sz w:val="32"/>
        </w:rPr>
        <w:t>清洗服务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价格表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4534"/>
        <w:gridCol w:w="2841"/>
      </w:tblGrid>
      <w:tr w14:paraId="2C7B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46" w:type="dxa"/>
            <w:vAlign w:val="center"/>
          </w:tcPr>
          <w:p w14:paraId="4EA00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34" w:type="dxa"/>
            <w:vAlign w:val="center"/>
          </w:tcPr>
          <w:p w14:paraId="2114E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2841" w:type="dxa"/>
            <w:vAlign w:val="center"/>
          </w:tcPr>
          <w:p w14:paraId="00B40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年度巡检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清洗价格</w:t>
            </w:r>
          </w:p>
          <w:p w14:paraId="68306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（元/年）</w:t>
            </w:r>
          </w:p>
        </w:tc>
      </w:tr>
      <w:tr w14:paraId="2ACB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 w14:paraId="0A6E2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34" w:type="dxa"/>
            <w:vAlign w:val="center"/>
          </w:tcPr>
          <w:p w14:paraId="70D8E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全院空调年度巡检及清洗服务（含所有分体空调、多联机、天花机、风管机、新风机，全年4次巡检+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次深度清洗）</w:t>
            </w:r>
          </w:p>
        </w:tc>
        <w:tc>
          <w:tcPr>
            <w:tcW w:w="2841" w:type="dxa"/>
            <w:vAlign w:val="center"/>
          </w:tcPr>
          <w:p w14:paraId="24B78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374717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报价说明</w:t>
      </w:r>
    </w:p>
    <w:p w14:paraId="280C6A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-363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报价包含：全院所有空调设备</w:t>
      </w:r>
      <w:r>
        <w:rPr>
          <w:rStyle w:val="9"/>
          <w:rFonts w:hint="eastAsia" w:ascii="宋体" w:hAnsi="宋体" w:eastAsia="宋体" w:cs="宋体"/>
          <w:b/>
          <w:bCs/>
          <w:color w:val="1F2329"/>
          <w:sz w:val="24"/>
          <w:szCs w:val="24"/>
        </w:rPr>
        <w:t>年度4次全面巡检+</w:t>
      </w:r>
      <w:r>
        <w:rPr>
          <w:rStyle w:val="9"/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/>
          <w:bCs/>
          <w:color w:val="1F2329"/>
          <w:sz w:val="24"/>
          <w:szCs w:val="24"/>
        </w:rPr>
        <w:t>次深度清洗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、人工、交通、辅材、税费、安全措施、保险等全部费用</w:t>
      </w:r>
      <w:r>
        <w:rPr>
          <w:rFonts w:hint="eastAsia" w:ascii="宋体" w:hAnsi="宋体" w:eastAsia="宋体" w:cs="宋体"/>
          <w:color w:val="1F232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总价</w:t>
      </w:r>
      <w:r>
        <w:rPr>
          <w:rFonts w:hint="eastAsia" w:ascii="宋体" w:hAnsi="宋体" w:cs="Arial"/>
          <w:b/>
          <w:bCs/>
          <w:sz w:val="24"/>
          <w:lang w:val="en-US" w:eastAsia="zh-CN"/>
        </w:rPr>
        <w:t>不得超过11万元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。</w:t>
      </w:r>
    </w:p>
    <w:p w14:paraId="057740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-363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维修人工费全免；≤200元备件免费更换；＞200元备件按中标单价另行结算，不计入本报价。</w:t>
      </w:r>
    </w:p>
    <w:p w14:paraId="405CC0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-363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年度总费用不得超过项目预算，按实结算、超支不补。</w:t>
      </w:r>
    </w:p>
    <w:p w14:paraId="0782C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32"/>
        </w:rPr>
      </w:pPr>
    </w:p>
    <w:p w14:paraId="78DA4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32"/>
        </w:rPr>
      </w:pPr>
    </w:p>
    <w:p w14:paraId="048C8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32"/>
        </w:rPr>
      </w:pPr>
    </w:p>
    <w:p w14:paraId="2E21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br w:type="page"/>
      </w:r>
      <w:bookmarkStart w:id="0" w:name="heading_15"/>
      <w:r>
        <w:rPr>
          <w:rFonts w:hint="eastAsia" w:ascii="宋体" w:hAnsi="宋体" w:eastAsia="宋体" w:cs="宋体"/>
          <w:b/>
          <w:sz w:val="32"/>
        </w:rPr>
        <w:t>表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4:</w:t>
      </w:r>
      <w:r>
        <w:rPr>
          <w:rFonts w:hint="eastAsia" w:ascii="宋体" w:hAnsi="宋体" w:eastAsia="宋体" w:cs="宋体"/>
          <w:b/>
          <w:sz w:val="32"/>
        </w:rPr>
        <w:t>200元以上高频备件报价表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993"/>
        <w:gridCol w:w="927"/>
        <w:gridCol w:w="1460"/>
        <w:gridCol w:w="572"/>
        <w:gridCol w:w="927"/>
        <w:gridCol w:w="927"/>
        <w:gridCol w:w="572"/>
        <w:gridCol w:w="572"/>
      </w:tblGrid>
      <w:tr w14:paraId="131A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适用品牌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 / 描述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预估用量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CB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变频压缩机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5–10 匹多联机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5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4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5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外机主控板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变频外机通用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E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D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A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变频驱动模块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5–10 匹 IPM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2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9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4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四通阀总成（含线圈）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4/5 匹通用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0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A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电子膨胀阀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内外机通用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6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1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F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4/5 匹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5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3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F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内风机电机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 / 天花机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6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0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0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压力传感器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三线制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F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6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4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内机主控板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B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B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排水泵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 / 天花机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8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9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变频压缩机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5–10 匹多联机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8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3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B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外机主控板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变频外机通用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A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F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2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变频驱动模块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5–10 匹 IPM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7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E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6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四通阀总成（含线圈）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匹通用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7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8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5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电子膨胀阀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内外机通用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9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F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E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4/5 匹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2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A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内风机电机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 / 天花机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C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1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3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压力传感器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三线制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6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7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E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内机主控板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B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3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定频压缩机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1–5 匹分体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1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5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9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变频压缩机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1.5–3 匹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7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C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7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外机主板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分体机通用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B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2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6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内机主板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挂机 / 柜机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5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6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四通阀总成（含线圈）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1–3 匹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7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3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3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1–5 匹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7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1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9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内风机电机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挂机 / 柜机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B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C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 R410A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全品牌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环保冷媒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F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1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D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冷媒R134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全品牌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环保冷媒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E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8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1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冷媒R32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全品牌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环保冷媒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1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3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1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冷媒R22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全品牌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环保冷媒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D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8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8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导风板 / 面板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全品牌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0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7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D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4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E5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b/>
          <w:sz w:val="32"/>
        </w:rPr>
      </w:pPr>
    </w:p>
    <w:p w14:paraId="19DEEA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供应商须填报</w:t>
      </w:r>
      <w:r>
        <w:rPr>
          <w:rStyle w:val="9"/>
          <w:rFonts w:hint="eastAsia" w:ascii="宋体" w:hAnsi="宋体" w:eastAsia="宋体" w:cs="宋体"/>
          <w:color w:val="1F2329"/>
          <w:sz w:val="24"/>
          <w:szCs w:val="24"/>
        </w:rPr>
        <w:t>《200元以上高频备件报价表》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，</w:t>
      </w: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作为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评标价格评审使用</w:t>
      </w:r>
      <w:r>
        <w:rPr>
          <w:rFonts w:hint="eastAsia" w:ascii="宋体" w:hAnsi="宋体" w:eastAsia="宋体" w:cs="宋体"/>
          <w:color w:val="1F232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总价</w:t>
      </w:r>
      <w:r>
        <w:rPr>
          <w:rFonts w:hint="eastAsia" w:ascii="宋体" w:hAnsi="宋体" w:cs="Arial"/>
          <w:b/>
          <w:bCs/>
          <w:sz w:val="24"/>
          <w:lang w:val="en-US" w:eastAsia="zh-CN"/>
        </w:rPr>
        <w:t>不得超过11万元</w:t>
      </w:r>
      <w:bookmarkStart w:id="3" w:name="_GoBack"/>
      <w:bookmarkEnd w:id="3"/>
      <w:r>
        <w:rPr>
          <w:rFonts w:hint="eastAsia" w:ascii="宋体" w:hAnsi="宋体" w:eastAsia="宋体" w:cs="宋体"/>
          <w:color w:val="1F2329"/>
          <w:sz w:val="24"/>
          <w:szCs w:val="24"/>
        </w:rPr>
        <w:t>。</w:t>
      </w:r>
    </w:p>
    <w:p w14:paraId="3D353C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供应商须</w:t>
      </w:r>
      <w:r>
        <w:rPr>
          <w:rStyle w:val="9"/>
          <w:rFonts w:hint="eastAsia" w:ascii="宋体" w:hAnsi="宋体" w:eastAsia="宋体" w:cs="宋体"/>
          <w:color w:val="1F2329"/>
          <w:sz w:val="24"/>
          <w:szCs w:val="24"/>
        </w:rPr>
        <w:t>另行提供《200元以上全量备件报价清单》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，</w:t>
      </w: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格式自拟，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清单</w:t>
      </w: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应尽可能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覆盖项目</w:t>
      </w: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所含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品牌、机型可能更换的零配件，作为</w:t>
      </w:r>
      <w:r>
        <w:rPr>
          <w:rStyle w:val="9"/>
          <w:rFonts w:hint="eastAsia" w:ascii="宋体" w:hAnsi="宋体" w:eastAsia="宋体" w:cs="宋体"/>
          <w:color w:val="1F2329"/>
          <w:sz w:val="24"/>
          <w:szCs w:val="24"/>
        </w:rPr>
        <w:t>中标后维修、更换、结算依据</w:t>
      </w:r>
      <w:r>
        <w:rPr>
          <w:rFonts w:hint="eastAsia" w:ascii="宋体" w:hAnsi="宋体" w:eastAsia="宋体" w:cs="宋体"/>
          <w:color w:val="1F232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价格须公允、合理。</w:t>
      </w:r>
    </w:p>
    <w:p w14:paraId="56EE04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单价＞200元的备件更换前须经采购人，更换后旧件须回收交采购人查验。</w:t>
      </w:r>
    </w:p>
    <w:p w14:paraId="2BE8DE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5.若《200元以上高频备件报价表》与《</w:t>
      </w:r>
      <w:r>
        <w:rPr>
          <w:rStyle w:val="9"/>
          <w:rFonts w:hint="eastAsia" w:ascii="宋体" w:hAnsi="宋体" w:eastAsia="宋体" w:cs="宋体"/>
          <w:color w:val="1F2329"/>
          <w:sz w:val="24"/>
          <w:szCs w:val="24"/>
        </w:rPr>
        <w:t>200元以上全量备件报价清单</w:t>
      </w: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》同名称、同规格、同品牌配件单价不一致或存在冲突，以《200元以上高频备件报价表》中的单价为准执行。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合同执行期间，所有＞200元备件均按中标全量清单单价执行。</w:t>
      </w:r>
    </w:p>
    <w:p w14:paraId="4465E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br w:type="page"/>
      </w:r>
      <w:bookmarkEnd w:id="0"/>
      <w:bookmarkStart w:id="1" w:name="heading_16"/>
      <w:r>
        <w:rPr>
          <w:rFonts w:hint="eastAsia" w:ascii="宋体" w:hAnsi="宋体" w:eastAsia="宋体" w:cs="宋体"/>
          <w:b/>
          <w:sz w:val="32"/>
        </w:rPr>
        <w:t>表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5:</w:t>
      </w:r>
      <w:r>
        <w:rPr>
          <w:rFonts w:hint="eastAsia" w:ascii="宋体" w:hAnsi="宋体" w:eastAsia="宋体" w:cs="宋体"/>
          <w:b/>
          <w:sz w:val="32"/>
        </w:rPr>
        <w:t>200元（含）以下免费备件清单</w:t>
      </w:r>
      <w:bookmarkEnd w:id="1"/>
    </w:p>
    <w:p w14:paraId="228557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1.供应商须提供《200 元（含）以下免费备件清单》，清单内容须为空调设备专用、具有独立使用功能、可单独更换的零配件，包含但不限于：过滤网、启动电容、温度传感器、风机电机、交流接触器、变压器、压缩机保护器等。</w:t>
      </w:r>
    </w:p>
    <w:p w14:paraId="1D766A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严禁将以下物品列入免费备件清单，列入者一律不计分、不计入条目数：</w:t>
      </w:r>
    </w:p>
    <w:p w14:paraId="4DC519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生料带、扎带、捆绑带、包扎带</w:t>
      </w:r>
    </w:p>
    <w:p w14:paraId="2ACA2D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绝缘胶带、电工胶布、防水胶带</w:t>
      </w:r>
    </w:p>
    <w:p w14:paraId="073648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螺丝、卡扣、管码、支架、固定件</w:t>
      </w:r>
    </w:p>
    <w:p w14:paraId="0FDD99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胶水、密封胶、粘合剂</w:t>
      </w:r>
    </w:p>
    <w:p w14:paraId="113B33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清洁用品、洗涤剂、消毒液</w:t>
      </w:r>
    </w:p>
    <w:p w14:paraId="54A516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电线、端子、线管等辅材</w:t>
      </w:r>
    </w:p>
    <w:p w14:paraId="23AAF6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3.合同履行期间，所有单价≤200元的备件均免费更换，不受清单所列范围限制。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7"/>
        <w:gridCol w:w="1693"/>
        <w:gridCol w:w="1693"/>
        <w:gridCol w:w="1871"/>
        <w:gridCol w:w="934"/>
        <w:gridCol w:w="1554"/>
      </w:tblGrid>
      <w:tr w14:paraId="2AF6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9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序号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B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品牌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C0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配件名称</w:t>
            </w: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0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规格/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适用机型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3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9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备注</w:t>
            </w:r>
          </w:p>
        </w:tc>
      </w:tr>
      <w:tr w14:paraId="097B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4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A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大金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7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过滤网</w:t>
            </w: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9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通用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2E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个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39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45AC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B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C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大金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E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启动电容</w:t>
            </w: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BA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1-1.5P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C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个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A2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1E87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A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4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大金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4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温度传感器</w:t>
            </w: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F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2-3P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2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个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E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7A7F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B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B5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松下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1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过滤网</w:t>
            </w: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C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5P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9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个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1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7B8D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9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C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松下</w:t>
            </w:r>
            <w:r>
              <w:rPr>
                <w:rFonts w:hint="eastAsia" w:ascii="宋体" w:hAnsi="宋体" w:eastAsia="宋体" w:cs="宋体"/>
                <w:sz w:val="22"/>
              </w:rPr>
              <w:tab/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D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启动电容</w:t>
            </w: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7F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通用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43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个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4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33AE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12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E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日立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1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温度传感器</w:t>
            </w: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4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＜2P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EC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个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E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0336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1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B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F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6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D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5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2723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4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B5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D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E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2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2369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0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7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4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1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D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88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7E54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7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E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6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8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5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B5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7106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3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2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52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3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8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5E6D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1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B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4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4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D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C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3D39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E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1F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A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1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D4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4E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 w14:paraId="02DD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b/>
          <w:sz w:val="32"/>
        </w:rPr>
      </w:pPr>
      <w:bookmarkStart w:id="2" w:name="heading_17"/>
    </w:p>
    <w:bookmarkEnd w:id="2"/>
    <w:p w14:paraId="4A372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</w:rPr>
      </w:pPr>
    </w:p>
    <w:sectPr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2F56FFB"/>
    <w:rsid w:val="132A0F93"/>
    <w:rsid w:val="26AD2C8A"/>
    <w:rsid w:val="26B0595C"/>
    <w:rsid w:val="297515D0"/>
    <w:rsid w:val="3A7353CB"/>
    <w:rsid w:val="59A37DF5"/>
    <w:rsid w:val="684E59A6"/>
    <w:rsid w:val="784D1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286</Words>
  <Characters>300</Characters>
  <TotalTime>0</TotalTime>
  <ScaleCrop>false</ScaleCrop>
  <LinksUpToDate>false</LinksUpToDate>
  <CharactersWithSpaces>303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2026-05-20T03:58:00Z</dcterms:created>
  <dc:creator>Apache POI</dc:creator>
  <cp:lastModifiedBy>wanderbay</cp:lastModifiedBy>
  <dcterms:modified xsi:type="dcterms:W3CDTF">2026-05-27T00:22:31Z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eyJoZGlkIjoiNzczNWY5MGEyNjhlNjFmYTUxYjI1Njg1YWM2NDZmZmQiLCJ1c2VySWQiOiI1MDk2Njc2MzkifQ==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5D72DC5D336D4ED7BA238CC7881660FA_12</vt:lpwstr>
  </property>
</Properties>
</file>