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56037">
      <w:pPr>
        <w:pStyle w:val="8"/>
        <w:keepNext/>
        <w:keepLines/>
        <w:pageBreakBefore/>
        <w:widowControl/>
        <w:kinsoku/>
        <w:wordWrap/>
        <w:overflowPunct/>
        <w:topLinePunct w:val="0"/>
        <w:autoSpaceDE w:val="0"/>
        <w:autoSpaceDN w:val="0"/>
        <w:bidi w:val="0"/>
        <w:adjustRightInd w:val="0"/>
        <w:snapToGrid/>
        <w:spacing w:line="360" w:lineRule="auto"/>
        <w:ind w:firstLine="562" w:firstLineChars="200"/>
        <w:jc w:val="both"/>
        <w:textAlignment w:val="auto"/>
        <w:outlineLvl w:val="1"/>
        <w:rPr>
          <w:rFonts w:hAnsi="宋体"/>
          <w:b/>
          <w:color w:val="auto"/>
          <w:sz w:val="28"/>
          <w:szCs w:val="28"/>
          <w:highlight w:val="none"/>
        </w:rPr>
      </w:pPr>
      <w:bookmarkStart w:id="0" w:name="_Toc17289"/>
      <w:bookmarkStart w:id="1" w:name="_Toc102037652"/>
      <w:bookmarkStart w:id="2" w:name="_Toc14745"/>
      <w:bookmarkStart w:id="3" w:name="_Toc11684"/>
      <w:bookmarkStart w:id="4" w:name="_Toc3887"/>
      <w:r>
        <w:rPr>
          <w:rFonts w:hint="eastAsia" w:hAnsi="宋体"/>
          <w:b/>
          <w:color w:val="auto"/>
          <w:sz w:val="28"/>
          <w:szCs w:val="28"/>
          <w:highlight w:val="none"/>
          <w:lang w:val="en-US" w:eastAsia="zh-CN"/>
        </w:rPr>
        <w:t>一、</w:t>
      </w:r>
      <w:r>
        <w:rPr>
          <w:rFonts w:hint="eastAsia" w:hAnsi="宋体"/>
          <w:b/>
          <w:color w:val="auto"/>
          <w:sz w:val="28"/>
          <w:szCs w:val="28"/>
          <w:highlight w:val="none"/>
        </w:rPr>
        <w:t>投标人须知：评标方法、评标标准、定标原则</w:t>
      </w:r>
      <w:bookmarkEnd w:id="0"/>
      <w:bookmarkEnd w:id="1"/>
      <w:bookmarkEnd w:id="2"/>
      <w:bookmarkEnd w:id="3"/>
      <w:bookmarkEnd w:id="4"/>
    </w:p>
    <w:tbl>
      <w:tblPr>
        <w:tblStyle w:val="6"/>
        <w:tblW w:w="0" w:type="auto"/>
        <w:jc w:val="center"/>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Layout w:type="fixed"/>
        <w:tblCellMar>
          <w:top w:w="0" w:type="dxa"/>
          <w:left w:w="108" w:type="dxa"/>
          <w:bottom w:w="0" w:type="dxa"/>
          <w:right w:w="108" w:type="dxa"/>
        </w:tblCellMar>
      </w:tblPr>
      <w:tblGrid>
        <w:gridCol w:w="9180"/>
      </w:tblGrid>
      <w:tr w14:paraId="1438D8A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thinThickSmallGap" w:color="auto" w:sz="18" w:space="0"/>
              <w:left w:val="thinThickSmallGap" w:color="auto" w:sz="18" w:space="0"/>
              <w:bottom w:val="single" w:color="auto" w:sz="6" w:space="0"/>
              <w:right w:val="thinThickSmallGap" w:color="auto" w:sz="18" w:space="0"/>
            </w:tcBorders>
            <w:noWrap w:val="0"/>
            <w:vAlign w:val="top"/>
          </w:tcPr>
          <w:p w14:paraId="595C61AB">
            <w:pPr>
              <w:pStyle w:val="3"/>
              <w:snapToGrid w:val="0"/>
              <w:spacing w:line="360" w:lineRule="auto"/>
              <w:ind w:firstLine="0"/>
              <w:rPr>
                <w:rFonts w:ascii="宋体" w:hAnsi="宋体"/>
                <w:color w:val="auto"/>
                <w:sz w:val="22"/>
                <w:szCs w:val="22"/>
                <w:highlight w:val="none"/>
              </w:rPr>
            </w:pPr>
            <w:bookmarkStart w:id="5" w:name="_Toc29099"/>
            <w:bookmarkStart w:id="6" w:name="_Toc16023"/>
            <w:bookmarkStart w:id="7" w:name="_Toc14161"/>
            <w:bookmarkStart w:id="8" w:name="_Toc16980"/>
            <w:bookmarkStart w:id="9" w:name="_Toc24212"/>
            <w:bookmarkStart w:id="10" w:name="_Toc25813"/>
            <w:bookmarkStart w:id="11" w:name="_Toc30082"/>
            <w:bookmarkStart w:id="12" w:name="_Toc1105"/>
            <w:bookmarkStart w:id="13" w:name="_Toc514678747"/>
            <w:bookmarkStart w:id="14" w:name="_Toc31483"/>
            <w:bookmarkStart w:id="15" w:name="_Toc1533"/>
            <w:bookmarkStart w:id="16" w:name="_Toc13424"/>
            <w:bookmarkStart w:id="17" w:name="_Toc7381"/>
            <w:r>
              <w:rPr>
                <w:rFonts w:hint="eastAsia" w:ascii="宋体" w:hAnsi="宋体"/>
                <w:color w:val="auto"/>
                <w:sz w:val="22"/>
                <w:szCs w:val="22"/>
                <w:highlight w:val="none"/>
              </w:rPr>
              <w:t>一、评审程序：</w:t>
            </w:r>
          </w:p>
          <w:p w14:paraId="1CDF283B">
            <w:pPr>
              <w:pStyle w:val="3"/>
              <w:tabs>
                <w:tab w:val="left" w:pos="480"/>
              </w:tabs>
              <w:snapToGrid w:val="0"/>
              <w:spacing w:line="360" w:lineRule="auto"/>
              <w:ind w:firstLine="440" w:firstLineChars="200"/>
              <w:rPr>
                <w:rFonts w:ascii="宋体" w:hAnsi="宋体"/>
                <w:b/>
                <w:bCs/>
                <w:color w:val="auto"/>
                <w:sz w:val="22"/>
                <w:szCs w:val="22"/>
                <w:highlight w:val="none"/>
              </w:rPr>
            </w:pPr>
            <w:r>
              <w:rPr>
                <w:rFonts w:ascii="宋体" w:hAnsi="宋体"/>
                <w:color w:val="auto"/>
                <w:sz w:val="22"/>
                <w:szCs w:val="22"/>
                <w:highlight w:val="none"/>
              </w:rPr>
              <w:t>首先</w:t>
            </w:r>
            <w:r>
              <w:rPr>
                <w:rFonts w:hint="eastAsia" w:ascii="宋体" w:hAnsi="宋体"/>
                <w:color w:val="auto"/>
                <w:sz w:val="22"/>
                <w:szCs w:val="22"/>
                <w:highlight w:val="none"/>
              </w:rPr>
              <w:t>由采购人或招标代理机构</w:t>
            </w:r>
            <w:r>
              <w:rPr>
                <w:rFonts w:ascii="宋体" w:hAnsi="宋体"/>
                <w:color w:val="auto"/>
                <w:sz w:val="22"/>
                <w:szCs w:val="22"/>
                <w:highlight w:val="none"/>
              </w:rPr>
              <w:t>对各</w:t>
            </w:r>
            <w:r>
              <w:rPr>
                <w:rFonts w:hint="eastAsia" w:ascii="宋体" w:hAnsi="宋体"/>
                <w:color w:val="auto"/>
                <w:sz w:val="22"/>
                <w:szCs w:val="22"/>
                <w:highlight w:val="none"/>
              </w:rPr>
              <w:t>投标人</w:t>
            </w:r>
            <w:r>
              <w:rPr>
                <w:rFonts w:ascii="宋体" w:hAnsi="宋体"/>
                <w:color w:val="auto"/>
                <w:sz w:val="22"/>
                <w:szCs w:val="22"/>
                <w:highlight w:val="none"/>
              </w:rPr>
              <w:t>的资格</w:t>
            </w:r>
            <w:r>
              <w:rPr>
                <w:rFonts w:hint="eastAsia" w:ascii="宋体" w:hAnsi="宋体"/>
                <w:color w:val="auto"/>
                <w:sz w:val="22"/>
                <w:szCs w:val="22"/>
                <w:highlight w:val="none"/>
              </w:rPr>
              <w:t>进行审查，经资格审查后合格投标人满足三家或以上的方可进入评标程序。</w:t>
            </w:r>
          </w:p>
          <w:p w14:paraId="1BCF59D0">
            <w:pPr>
              <w:pStyle w:val="3"/>
              <w:tabs>
                <w:tab w:val="left" w:pos="480"/>
              </w:tabs>
              <w:snapToGrid w:val="0"/>
              <w:spacing w:line="360" w:lineRule="auto"/>
              <w:ind w:firstLine="440" w:firstLineChars="200"/>
              <w:rPr>
                <w:rFonts w:ascii="宋体" w:hAnsi="宋体"/>
                <w:b/>
                <w:bCs/>
                <w:color w:val="auto"/>
                <w:sz w:val="22"/>
                <w:szCs w:val="22"/>
                <w:highlight w:val="none"/>
              </w:rPr>
            </w:pPr>
            <w:r>
              <w:rPr>
                <w:rFonts w:hint="eastAsia" w:ascii="宋体" w:hAnsi="宋体"/>
                <w:color w:val="auto"/>
                <w:sz w:val="22"/>
                <w:szCs w:val="22"/>
                <w:highlight w:val="none"/>
              </w:rPr>
              <w:t>进入评标后，首先由评标委员会对资格符合的投标人的投标文件进行符合性审查</w:t>
            </w:r>
            <w:r>
              <w:rPr>
                <w:rFonts w:ascii="宋体" w:hAnsi="宋体"/>
                <w:color w:val="auto"/>
                <w:sz w:val="22"/>
                <w:szCs w:val="22"/>
                <w:highlight w:val="none"/>
              </w:rPr>
              <w:t>，只有</w:t>
            </w:r>
            <w:r>
              <w:rPr>
                <w:rFonts w:hint="eastAsia" w:ascii="宋体" w:hAnsi="宋体"/>
                <w:color w:val="auto"/>
                <w:sz w:val="22"/>
                <w:szCs w:val="22"/>
                <w:highlight w:val="none"/>
              </w:rPr>
              <w:t>符合性审查满足招标文件实质性要求</w:t>
            </w:r>
            <w:r>
              <w:rPr>
                <w:rFonts w:ascii="宋体" w:hAnsi="宋体"/>
                <w:color w:val="auto"/>
                <w:sz w:val="22"/>
                <w:szCs w:val="22"/>
                <w:highlight w:val="none"/>
              </w:rPr>
              <w:t>的投标文件才能进入综合评分。</w:t>
            </w:r>
          </w:p>
        </w:tc>
      </w:tr>
      <w:tr w14:paraId="6CEBED7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thinThickSmallGap" w:color="auto" w:sz="18" w:space="0"/>
              <w:left w:val="thinThickSmallGap" w:color="auto" w:sz="18" w:space="0"/>
              <w:bottom w:val="single" w:color="auto" w:sz="6" w:space="0"/>
              <w:right w:val="thinThickSmallGap" w:color="auto" w:sz="18" w:space="0"/>
            </w:tcBorders>
            <w:noWrap w:val="0"/>
            <w:vAlign w:val="top"/>
          </w:tcPr>
          <w:p w14:paraId="28F39637">
            <w:pPr>
              <w:pStyle w:val="3"/>
              <w:snapToGrid w:val="0"/>
              <w:spacing w:line="360" w:lineRule="auto"/>
              <w:ind w:firstLine="0"/>
              <w:rPr>
                <w:rFonts w:ascii="宋体" w:hAnsi="宋体"/>
                <w:color w:val="auto"/>
                <w:sz w:val="22"/>
                <w:szCs w:val="22"/>
                <w:highlight w:val="none"/>
              </w:rPr>
            </w:pPr>
            <w:r>
              <w:rPr>
                <w:rFonts w:hint="eastAsia" w:ascii="宋体" w:hAnsi="宋体"/>
                <w:color w:val="auto"/>
                <w:sz w:val="22"/>
                <w:szCs w:val="22"/>
                <w:highlight w:val="none"/>
              </w:rPr>
              <w:t>二、评标方法：</w:t>
            </w:r>
          </w:p>
          <w:p w14:paraId="1F081457">
            <w:pPr>
              <w:pStyle w:val="3"/>
              <w:snapToGrid w:val="0"/>
              <w:spacing w:line="360" w:lineRule="auto"/>
              <w:ind w:left="480"/>
              <w:rPr>
                <w:rFonts w:ascii="宋体" w:hAnsi="宋体"/>
                <w:color w:val="auto"/>
                <w:sz w:val="22"/>
                <w:szCs w:val="22"/>
                <w:highlight w:val="none"/>
              </w:rPr>
            </w:pPr>
            <w:r>
              <w:rPr>
                <w:rFonts w:ascii="宋体" w:hAnsi="宋体"/>
                <w:color w:val="auto"/>
                <w:sz w:val="22"/>
                <w:szCs w:val="22"/>
                <w:highlight w:val="none"/>
              </w:rPr>
              <w:sym w:font="Wingdings" w:char="F0FE"/>
            </w:r>
            <w:r>
              <w:rPr>
                <w:rFonts w:ascii="宋体" w:hAnsi="宋体"/>
                <w:color w:val="auto"/>
                <w:sz w:val="22"/>
                <w:szCs w:val="22"/>
                <w:highlight w:val="none"/>
              </w:rPr>
              <w:t xml:space="preserve"> 综合评分法  □ 最低评标价法  </w:t>
            </w:r>
          </w:p>
        </w:tc>
      </w:tr>
      <w:tr w14:paraId="1238C2C2">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single" w:color="auto" w:sz="6" w:space="0"/>
              <w:left w:val="thinThickSmallGap" w:color="auto" w:sz="18" w:space="0"/>
              <w:bottom w:val="single" w:color="auto" w:sz="6" w:space="0"/>
              <w:right w:val="thinThickSmallGap" w:color="auto" w:sz="18" w:space="0"/>
            </w:tcBorders>
            <w:noWrap w:val="0"/>
            <w:vAlign w:val="top"/>
          </w:tcPr>
          <w:p w14:paraId="17D29CED">
            <w:pPr>
              <w:pStyle w:val="3"/>
              <w:spacing w:line="360" w:lineRule="auto"/>
              <w:ind w:firstLine="0"/>
              <w:rPr>
                <w:rFonts w:ascii="宋体" w:hAnsi="宋体"/>
                <w:color w:val="auto"/>
                <w:sz w:val="22"/>
                <w:szCs w:val="22"/>
                <w:highlight w:val="none"/>
              </w:rPr>
            </w:pPr>
            <w:r>
              <w:rPr>
                <w:rFonts w:hint="eastAsia" w:ascii="宋体" w:hAnsi="宋体"/>
                <w:color w:val="auto"/>
                <w:sz w:val="22"/>
                <w:szCs w:val="22"/>
                <w:highlight w:val="none"/>
              </w:rPr>
              <w:t>三、评标标准：</w:t>
            </w:r>
          </w:p>
          <w:p w14:paraId="215EDB67">
            <w:pPr>
              <w:pStyle w:val="3"/>
              <w:spacing w:line="360" w:lineRule="auto"/>
              <w:rPr>
                <w:rFonts w:ascii="宋体" w:hAnsi="宋体"/>
                <w:color w:val="auto"/>
                <w:sz w:val="22"/>
                <w:szCs w:val="22"/>
                <w:highlight w:val="none"/>
              </w:rPr>
            </w:pPr>
            <w:r>
              <w:rPr>
                <w:rFonts w:hint="eastAsia" w:ascii="宋体" w:hAnsi="宋体"/>
                <w:color w:val="auto"/>
                <w:sz w:val="22"/>
                <w:szCs w:val="22"/>
                <w:highlight w:val="none"/>
              </w:rPr>
              <w:t>（一）具体的评标标准、权重。</w:t>
            </w:r>
          </w:p>
          <w:p w14:paraId="1B462431">
            <w:pPr>
              <w:pStyle w:val="3"/>
              <w:spacing w:line="360" w:lineRule="auto"/>
              <w:ind w:firstLine="660" w:firstLineChars="300"/>
              <w:rPr>
                <w:rFonts w:ascii="宋体" w:hAnsi="宋体"/>
                <w:color w:val="auto"/>
                <w:sz w:val="22"/>
                <w:szCs w:val="22"/>
                <w:highlight w:val="none"/>
              </w:rPr>
            </w:pPr>
            <w:r>
              <w:rPr>
                <w:rFonts w:hint="eastAsia" w:ascii="宋体" w:hAnsi="宋体"/>
                <w:color w:val="auto"/>
                <w:sz w:val="22"/>
                <w:szCs w:val="22"/>
                <w:highlight w:val="none"/>
              </w:rPr>
              <w:t>详见附件</w:t>
            </w:r>
          </w:p>
          <w:p w14:paraId="296CF87E">
            <w:pPr>
              <w:pStyle w:val="3"/>
              <w:spacing w:line="360" w:lineRule="auto"/>
              <w:rPr>
                <w:rFonts w:ascii="宋体" w:hAnsi="宋体"/>
                <w:color w:val="auto"/>
                <w:sz w:val="22"/>
                <w:szCs w:val="22"/>
                <w:highlight w:val="none"/>
              </w:rPr>
            </w:pPr>
            <w:r>
              <w:rPr>
                <w:rFonts w:hint="eastAsia" w:ascii="宋体" w:hAnsi="宋体"/>
                <w:color w:val="auto"/>
                <w:sz w:val="22"/>
                <w:szCs w:val="22"/>
                <w:highlight w:val="none"/>
              </w:rPr>
              <w:t>（二）推荐中标候选供应商名单。</w:t>
            </w:r>
          </w:p>
          <w:p w14:paraId="4B1F22EE">
            <w:pPr>
              <w:pStyle w:val="3"/>
              <w:spacing w:line="360" w:lineRule="auto"/>
              <w:ind w:firstLine="330" w:firstLineChars="150"/>
              <w:rPr>
                <w:rFonts w:ascii="宋体" w:hAnsi="宋体"/>
                <w:color w:val="auto"/>
                <w:sz w:val="22"/>
                <w:szCs w:val="22"/>
                <w:highlight w:val="none"/>
              </w:rPr>
            </w:pPr>
            <w:r>
              <w:rPr>
                <w:rFonts w:ascii="宋体" w:hAnsi="宋体"/>
                <w:color w:val="auto"/>
                <w:sz w:val="22"/>
                <w:szCs w:val="22"/>
                <w:highlight w:val="none"/>
              </w:rPr>
              <w:t>1、中标候选供应商数量：</w:t>
            </w:r>
            <w:r>
              <w:rPr>
                <w:rFonts w:hint="eastAsia" w:ascii="宋体" w:hAnsi="宋体"/>
                <w:color w:val="auto"/>
                <w:sz w:val="22"/>
                <w:szCs w:val="22"/>
                <w:highlight w:val="none"/>
                <w:u w:val="single"/>
              </w:rPr>
              <w:t>3</w:t>
            </w:r>
            <w:r>
              <w:rPr>
                <w:rFonts w:hint="eastAsia" w:ascii="宋体" w:hAnsi="宋体"/>
                <w:color w:val="auto"/>
                <w:sz w:val="22"/>
                <w:szCs w:val="22"/>
                <w:highlight w:val="none"/>
              </w:rPr>
              <w:t>个。</w:t>
            </w:r>
          </w:p>
          <w:p w14:paraId="3E1B838B">
            <w:pPr>
              <w:pStyle w:val="3"/>
              <w:spacing w:line="360" w:lineRule="auto"/>
              <w:ind w:firstLine="330" w:firstLineChars="150"/>
              <w:rPr>
                <w:rFonts w:ascii="宋体" w:hAnsi="宋体"/>
                <w:color w:val="auto"/>
                <w:sz w:val="22"/>
                <w:szCs w:val="22"/>
                <w:highlight w:val="none"/>
              </w:rPr>
            </w:pPr>
            <w:r>
              <w:rPr>
                <w:rFonts w:ascii="宋体" w:hAnsi="宋体"/>
                <w:color w:val="auto"/>
                <w:sz w:val="22"/>
                <w:szCs w:val="22"/>
                <w:highlight w:val="none"/>
              </w:rPr>
              <w:t>2、中标候选供应商排列顺序。经投标文件初审、澄清有关问题、比较与评价评标程序后，按以下办法推荐中标候选供应商名单的排列顺序（请按采购项目的评标方法从以下</w:t>
            </w:r>
            <w:r>
              <w:rPr>
                <w:rFonts w:hint="eastAsia" w:ascii="宋体" w:hAnsi="宋体"/>
                <w:color w:val="auto"/>
                <w:sz w:val="22"/>
                <w:szCs w:val="22"/>
                <w:highlight w:val="none"/>
              </w:rPr>
              <w:t>两</w:t>
            </w:r>
            <w:r>
              <w:rPr>
                <w:rFonts w:ascii="宋体" w:hAnsi="宋体"/>
                <w:color w:val="auto"/>
                <w:sz w:val="22"/>
                <w:szCs w:val="22"/>
                <w:highlight w:val="none"/>
              </w:rPr>
              <w:t>项中选择一项打“√”）：</w:t>
            </w:r>
          </w:p>
          <w:p w14:paraId="4FA44C81">
            <w:pPr>
              <w:pStyle w:val="3"/>
              <w:spacing w:line="360" w:lineRule="auto"/>
              <w:rPr>
                <w:rFonts w:ascii="宋体" w:hAnsi="宋体"/>
                <w:color w:val="auto"/>
                <w:sz w:val="22"/>
                <w:szCs w:val="22"/>
                <w:highlight w:val="none"/>
              </w:rPr>
            </w:pPr>
            <w:r>
              <w:rPr>
                <w:rFonts w:ascii="宋体" w:hAnsi="宋体"/>
                <w:color w:val="auto"/>
                <w:sz w:val="22"/>
                <w:szCs w:val="22"/>
                <w:highlight w:val="none"/>
              </w:rPr>
              <w:t>□采用最低评标价法的，按投标报价由低到高顺序排列。投标报价相同的，按技术指标优劣顺序排列。</w:t>
            </w:r>
          </w:p>
          <w:p w14:paraId="35824773">
            <w:pPr>
              <w:pStyle w:val="3"/>
              <w:spacing w:line="360" w:lineRule="auto"/>
              <w:rPr>
                <w:rFonts w:ascii="宋体" w:hAnsi="宋体"/>
                <w:color w:val="auto"/>
                <w:sz w:val="22"/>
                <w:szCs w:val="22"/>
                <w:highlight w:val="none"/>
              </w:rPr>
            </w:pPr>
            <w:r>
              <w:rPr>
                <w:rFonts w:ascii="宋体" w:hAnsi="宋体"/>
                <w:b/>
                <w:color w:val="auto"/>
                <w:sz w:val="22"/>
                <w:szCs w:val="22"/>
                <w:highlight w:val="none"/>
              </w:rPr>
              <w:fldChar w:fldCharType="begin"/>
            </w:r>
            <w:r>
              <w:rPr>
                <w:rFonts w:ascii="宋体" w:hAnsi="宋体"/>
                <w:b/>
                <w:color w:val="auto"/>
                <w:sz w:val="22"/>
                <w:szCs w:val="22"/>
                <w:highlight w:val="none"/>
              </w:rPr>
              <w:instrText xml:space="preserve"> </w:instrText>
            </w:r>
            <w:r>
              <w:rPr>
                <w:rFonts w:hint="eastAsia" w:ascii="宋体" w:hAnsi="宋体"/>
                <w:b/>
                <w:color w:val="auto"/>
                <w:sz w:val="22"/>
                <w:szCs w:val="22"/>
                <w:highlight w:val="none"/>
              </w:rPr>
              <w:instrText xml:space="preserve">eq \o\ac(□,√)</w:instrText>
            </w:r>
            <w:r>
              <w:rPr>
                <w:rFonts w:ascii="宋体" w:hAnsi="宋体"/>
                <w:b/>
                <w:color w:val="auto"/>
                <w:sz w:val="22"/>
                <w:szCs w:val="22"/>
                <w:highlight w:val="none"/>
              </w:rPr>
              <w:fldChar w:fldCharType="end"/>
            </w:r>
            <w:r>
              <w:rPr>
                <w:rFonts w:ascii="宋体" w:hAnsi="宋体"/>
                <w:color w:val="auto"/>
                <w:sz w:val="22"/>
                <w:szCs w:val="22"/>
                <w:highlight w:val="none"/>
              </w:rPr>
              <w:t>采用综合评分法的，按评审后得分由高到低顺序排列。得分相同的，按投标报价由低到高顺序排列。得分且投标报价相同的，按技术指标优劣顺序排列。</w:t>
            </w:r>
          </w:p>
          <w:p w14:paraId="537122FC">
            <w:pPr>
              <w:pStyle w:val="5"/>
              <w:spacing w:after="0" w:line="360" w:lineRule="auto"/>
              <w:ind w:left="0" w:firstLine="330" w:firstLineChars="150"/>
              <w:rPr>
                <w:rFonts w:hint="eastAsia" w:ascii="宋体" w:hAnsi="宋体" w:cs="Helvetica"/>
                <w:color w:val="auto"/>
                <w:sz w:val="22"/>
                <w:szCs w:val="22"/>
                <w:highlight w:val="none"/>
              </w:rPr>
            </w:pPr>
            <w:r>
              <w:rPr>
                <w:rFonts w:hint="eastAsia" w:ascii="宋体" w:hAnsi="宋体"/>
                <w:color w:val="auto"/>
                <w:sz w:val="22"/>
                <w:szCs w:val="22"/>
                <w:highlight w:val="none"/>
              </w:rPr>
              <w:t>3</w:t>
            </w:r>
            <w:r>
              <w:rPr>
                <w:rFonts w:hint="eastAsia" w:ascii="宋体" w:hAnsi="宋体" w:cs="Helvetica"/>
                <w:color w:val="auto"/>
                <w:sz w:val="22"/>
                <w:szCs w:val="22"/>
                <w:highlight w:val="none"/>
              </w:rPr>
              <w:t>、关于同一品牌产品投标的相关规定</w:t>
            </w:r>
          </w:p>
          <w:p w14:paraId="10F8E267">
            <w:pPr>
              <w:spacing w:line="360" w:lineRule="auto"/>
              <w:ind w:firstLine="330" w:firstLineChars="150"/>
              <w:rPr>
                <w:rFonts w:hint="eastAsia" w:ascii="宋体" w:hAnsi="宋体" w:cs="Helvetica"/>
                <w:color w:val="auto"/>
                <w:sz w:val="22"/>
                <w:highlight w:val="none"/>
              </w:rPr>
            </w:pPr>
            <w:r>
              <w:rPr>
                <w:rFonts w:hint="eastAsia" w:ascii="宋体" w:hAnsi="宋体" w:cs="Helvetica"/>
                <w:color w:val="auto"/>
                <w:sz w:val="22"/>
                <w:highlight w:val="none"/>
              </w:rPr>
              <w:t>如果有多家投标人以同一品牌的产品参加投标，只能视为一家。</w:t>
            </w:r>
          </w:p>
          <w:p w14:paraId="55021877">
            <w:pPr>
              <w:spacing w:line="360" w:lineRule="auto"/>
              <w:ind w:firstLine="330" w:firstLineChars="150"/>
              <w:rPr>
                <w:rFonts w:ascii="宋体" w:hAnsi="宋体" w:cs="Helvetica"/>
                <w:color w:val="auto"/>
                <w:sz w:val="22"/>
                <w:highlight w:val="none"/>
              </w:rPr>
            </w:pPr>
            <w:r>
              <w:rPr>
                <w:rFonts w:hint="eastAsia" w:ascii="宋体" w:hAnsi="宋体" w:cs="Helvetica"/>
                <w:color w:val="auto"/>
                <w:sz w:val="22"/>
                <w:highlight w:val="none"/>
              </w:rPr>
              <w:t>采用</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"http://lilun.caigou2003.com/recijiedu/2365668.html" \t "_blank" </w:instrText>
            </w:r>
            <w:r>
              <w:rPr>
                <w:rFonts w:ascii="宋体" w:hAnsi="宋体"/>
                <w:color w:val="auto"/>
                <w:sz w:val="22"/>
                <w:highlight w:val="none"/>
              </w:rPr>
              <w:fldChar w:fldCharType="separate"/>
            </w:r>
            <w:r>
              <w:rPr>
                <w:rFonts w:hint="eastAsia" w:ascii="宋体" w:hAnsi="宋体" w:cs="Helvetica"/>
                <w:color w:val="auto"/>
                <w:sz w:val="22"/>
                <w:highlight w:val="none"/>
              </w:rPr>
              <w:t>最低评标价法</w:t>
            </w:r>
            <w:r>
              <w:rPr>
                <w:rFonts w:hint="eastAsia" w:ascii="宋体" w:hAnsi="宋体" w:cs="Helvetica"/>
                <w:color w:val="auto"/>
                <w:sz w:val="22"/>
                <w:highlight w:val="none"/>
              </w:rPr>
              <w:fldChar w:fldCharType="end"/>
            </w:r>
            <w:r>
              <w:rPr>
                <w:rFonts w:hint="eastAsia" w:ascii="宋体" w:hAnsi="宋体" w:cs="Helvetica"/>
                <w:color w:val="auto"/>
                <w:sz w:val="22"/>
                <w:highlight w:val="none"/>
              </w:rPr>
              <w:t>的采购项目，提供相同品牌产品的不同投标人参加同一合同项下投标的，以其中通过资格审查、符合性审查且报价最低的参加评标；报价相同的，由招标人委托</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"http://lilun.caigou2003.com/recijiedu/2539165.html" \t "_blank" </w:instrText>
            </w:r>
            <w:r>
              <w:rPr>
                <w:rFonts w:ascii="宋体" w:hAnsi="宋体"/>
                <w:color w:val="auto"/>
                <w:sz w:val="22"/>
                <w:highlight w:val="none"/>
              </w:rPr>
              <w:fldChar w:fldCharType="separate"/>
            </w:r>
            <w:r>
              <w:rPr>
                <w:rFonts w:hint="eastAsia" w:ascii="宋体" w:hAnsi="宋体" w:cs="Helvetica"/>
                <w:color w:val="auto"/>
                <w:sz w:val="22"/>
                <w:highlight w:val="none"/>
              </w:rPr>
              <w:t>评标委员会</w:t>
            </w:r>
            <w:r>
              <w:rPr>
                <w:rFonts w:hint="eastAsia" w:ascii="宋体" w:hAnsi="宋体" w:cs="Helvetica"/>
                <w:color w:val="auto"/>
                <w:sz w:val="22"/>
                <w:highlight w:val="none"/>
              </w:rPr>
              <w:fldChar w:fldCharType="end"/>
            </w:r>
            <w:r>
              <w:rPr>
                <w:rFonts w:hint="eastAsia" w:ascii="宋体" w:hAnsi="宋体" w:cs="Helvetica"/>
                <w:color w:val="auto"/>
                <w:sz w:val="22"/>
                <w:highlight w:val="none"/>
              </w:rPr>
              <w:t>按照招标文件规定的方式确定一个参加评标的投标人，招标文件未规定的采取随机抽取方式确定，其他投标无效。</w:t>
            </w:r>
          </w:p>
          <w:p w14:paraId="4AA0A047">
            <w:pPr>
              <w:spacing w:line="360" w:lineRule="auto"/>
              <w:ind w:firstLine="330" w:firstLineChars="150"/>
              <w:rPr>
                <w:rFonts w:ascii="宋体" w:hAnsi="宋体"/>
                <w:color w:val="auto"/>
                <w:sz w:val="22"/>
                <w:highlight w:val="none"/>
              </w:rPr>
            </w:pPr>
            <w:r>
              <w:rPr>
                <w:rFonts w:hint="eastAsia" w:ascii="宋体" w:hAnsi="宋体" w:cs="Helvetica"/>
                <w:color w:val="auto"/>
                <w:sz w:val="22"/>
                <w:highlight w:val="none"/>
              </w:rPr>
              <w:t>使用</w:t>
            </w:r>
            <w:r>
              <w:rPr>
                <w:rFonts w:ascii="宋体" w:hAnsi="宋体"/>
                <w:color w:val="auto"/>
                <w:sz w:val="22"/>
                <w:highlight w:val="none"/>
              </w:rPr>
              <w:fldChar w:fldCharType="begin"/>
            </w:r>
            <w:r>
              <w:rPr>
                <w:rFonts w:ascii="宋体" w:hAnsi="宋体"/>
                <w:color w:val="auto"/>
                <w:sz w:val="22"/>
                <w:highlight w:val="none"/>
              </w:rPr>
              <w:instrText xml:space="preserve"> HYPERLINK "http://lilun.caigou2003.com/recijiedu/2365667.html" \t "_blank" </w:instrText>
            </w:r>
            <w:r>
              <w:rPr>
                <w:rFonts w:ascii="宋体" w:hAnsi="宋体"/>
                <w:color w:val="auto"/>
                <w:sz w:val="22"/>
                <w:highlight w:val="none"/>
              </w:rPr>
              <w:fldChar w:fldCharType="separate"/>
            </w:r>
            <w:r>
              <w:rPr>
                <w:rFonts w:hint="eastAsia" w:ascii="宋体" w:hAnsi="宋体" w:cs="Helvetica"/>
                <w:color w:val="auto"/>
                <w:sz w:val="22"/>
                <w:highlight w:val="none"/>
              </w:rPr>
              <w:t>综合评分法</w:t>
            </w:r>
            <w:r>
              <w:rPr>
                <w:rFonts w:hint="eastAsia" w:ascii="宋体" w:hAnsi="宋体" w:cs="Helvetica"/>
                <w:color w:val="auto"/>
                <w:sz w:val="22"/>
                <w:highlight w:val="none"/>
              </w:rPr>
              <w:fldChar w:fldCharType="end"/>
            </w:r>
            <w:r>
              <w:rPr>
                <w:rFonts w:hint="eastAsia" w:ascii="宋体" w:hAnsi="宋体" w:cs="Helvetica"/>
                <w:color w:val="auto"/>
                <w:sz w:val="22"/>
                <w:highlight w:val="none"/>
              </w:rPr>
              <w:t>的采购项目，提供相同品牌产品且通过资格审查、符合性审查的不同投标人参加同一合同项下投标的，按一家投标人计算，评审后得分最高的同品牌投标人获得中标人推荐资格；评审得分相同的，由招标人委托评标委员会按照招标文件规定的方式确定一个投标人获得中标人推荐资格，招标文件未规定的采取随机抽取方式确定，其他同品牌投标人不作为中标候选人。</w:t>
            </w:r>
          </w:p>
        </w:tc>
      </w:tr>
      <w:tr w14:paraId="18925F5B">
        <w:tblPrEx>
          <w:tblBorders>
            <w:top w:val="thinThickSmallGap" w:color="auto" w:sz="12" w:space="0"/>
            <w:left w:val="thinThickSmallGap" w:color="auto" w:sz="12" w:space="0"/>
            <w:bottom w:val="thickThinSmallGap" w:color="auto" w:sz="12" w:space="0"/>
            <w:right w:val="thickThinSmallGap"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9180" w:type="dxa"/>
            <w:tcBorders>
              <w:top w:val="single" w:color="auto" w:sz="6" w:space="0"/>
              <w:left w:val="thinThickSmallGap" w:color="auto" w:sz="18" w:space="0"/>
              <w:bottom w:val="thinThickSmallGap" w:color="auto" w:sz="18" w:space="0"/>
              <w:right w:val="thinThickSmallGap" w:color="auto" w:sz="18" w:space="0"/>
            </w:tcBorders>
            <w:noWrap w:val="0"/>
            <w:vAlign w:val="top"/>
          </w:tcPr>
          <w:p w14:paraId="10421642">
            <w:pPr>
              <w:pStyle w:val="3"/>
              <w:tabs>
                <w:tab w:val="left" w:pos="1260"/>
              </w:tabs>
              <w:adjustRightInd w:val="0"/>
              <w:snapToGrid w:val="0"/>
              <w:spacing w:before="50" w:line="360" w:lineRule="auto"/>
              <w:ind w:hanging="420"/>
              <w:outlineLvl w:val="2"/>
              <w:rPr>
                <w:rFonts w:ascii="宋体" w:hAnsi="宋体"/>
                <w:color w:val="auto"/>
                <w:sz w:val="22"/>
                <w:szCs w:val="22"/>
                <w:highlight w:val="none"/>
              </w:rPr>
            </w:pPr>
            <w:r>
              <w:rPr>
                <w:rFonts w:hint="eastAsia" w:ascii="宋体" w:hAnsi="宋体"/>
                <w:color w:val="auto"/>
                <w:sz w:val="22"/>
                <w:szCs w:val="22"/>
                <w:highlight w:val="none"/>
              </w:rPr>
              <w:t>三、四、定标原则：</w:t>
            </w:r>
            <w:r>
              <w:rPr>
                <w:rFonts w:hint="eastAsia" w:ascii="宋体" w:hAnsi="宋体"/>
                <w:color w:val="auto"/>
                <w:sz w:val="22"/>
                <w:szCs w:val="22"/>
                <w:highlight w:val="none"/>
                <w:lang w:val="en-US" w:eastAsia="zh-CN"/>
              </w:rPr>
              <w:t>（确定中标供应商数量：1个）</w:t>
            </w:r>
          </w:p>
          <w:p w14:paraId="4E2A5C7B">
            <w:pPr>
              <w:tabs>
                <w:tab w:val="left" w:pos="1080"/>
              </w:tabs>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1</w:t>
            </w:r>
            <w:r>
              <w:rPr>
                <w:rFonts w:ascii="宋体" w:hAnsi="宋体"/>
                <w:color w:val="auto"/>
                <w:sz w:val="22"/>
                <w:highlight w:val="none"/>
              </w:rPr>
              <w:t>、</w:t>
            </w:r>
            <w:r>
              <w:rPr>
                <w:rFonts w:hint="eastAsia" w:ascii="宋体" w:hAnsi="宋体"/>
                <w:color w:val="auto"/>
                <w:sz w:val="22"/>
                <w:highlight w:val="none"/>
                <w:lang w:val="en-US" w:eastAsia="zh-CN"/>
              </w:rPr>
              <w:t>采购人</w:t>
            </w:r>
            <w:r>
              <w:rPr>
                <w:rFonts w:ascii="宋体" w:hAnsi="宋体"/>
                <w:color w:val="auto"/>
                <w:sz w:val="22"/>
                <w:highlight w:val="none"/>
              </w:rPr>
              <w:t>在中标人确定</w:t>
            </w:r>
            <w:r>
              <w:rPr>
                <w:rFonts w:hint="eastAsia" w:ascii="宋体" w:hAnsi="宋体"/>
                <w:color w:val="auto"/>
                <w:sz w:val="22"/>
                <w:highlight w:val="none"/>
              </w:rPr>
              <w:t>之日起</w:t>
            </w:r>
            <w:r>
              <w:rPr>
                <w:rFonts w:ascii="宋体" w:hAnsi="宋体"/>
                <w:color w:val="auto"/>
                <w:sz w:val="22"/>
                <w:highlight w:val="none"/>
              </w:rPr>
              <w:t>2</w:t>
            </w:r>
            <w:r>
              <w:rPr>
                <w:rFonts w:hint="eastAsia" w:ascii="宋体" w:hAnsi="宋体"/>
                <w:color w:val="auto"/>
                <w:sz w:val="22"/>
                <w:highlight w:val="none"/>
              </w:rPr>
              <w:t>个工作日内，在指定相关媒体上公告中标结果（</w:t>
            </w:r>
            <w:r>
              <w:rPr>
                <w:rFonts w:ascii="宋体" w:hAnsi="宋体"/>
                <w:color w:val="auto"/>
                <w:sz w:val="22"/>
                <w:highlight w:val="none"/>
              </w:rPr>
              <w:t>中标公告期限为</w:t>
            </w:r>
            <w:r>
              <w:rPr>
                <w:rFonts w:hint="eastAsia" w:ascii="宋体" w:hAnsi="宋体"/>
                <w:color w:val="auto"/>
                <w:sz w:val="22"/>
                <w:highlight w:val="none"/>
                <w:lang w:val="en-US" w:eastAsia="zh-CN"/>
              </w:rPr>
              <w:t>3</w:t>
            </w:r>
            <w:r>
              <w:rPr>
                <w:rFonts w:ascii="宋体" w:hAnsi="宋体"/>
                <w:color w:val="auto"/>
                <w:sz w:val="22"/>
                <w:highlight w:val="none"/>
              </w:rPr>
              <w:t>个工作日</w:t>
            </w:r>
            <w:r>
              <w:rPr>
                <w:rFonts w:hint="eastAsia" w:ascii="宋体" w:hAnsi="宋体"/>
                <w:color w:val="auto"/>
                <w:sz w:val="22"/>
                <w:highlight w:val="none"/>
              </w:rPr>
              <w:t>）及招标文件，请投标人关注。</w:t>
            </w:r>
          </w:p>
          <w:p w14:paraId="50504208">
            <w:pPr>
              <w:tabs>
                <w:tab w:val="left" w:pos="1080"/>
              </w:tabs>
              <w:spacing w:line="360" w:lineRule="auto"/>
              <w:ind w:firstLine="440" w:firstLineChars="200"/>
              <w:rPr>
                <w:rFonts w:ascii="宋体" w:hAnsi="宋体"/>
                <w:color w:val="auto"/>
                <w:sz w:val="22"/>
                <w:highlight w:val="none"/>
              </w:rPr>
            </w:pPr>
            <w:r>
              <w:rPr>
                <w:rFonts w:hint="eastAsia" w:ascii="宋体" w:hAnsi="宋体"/>
                <w:color w:val="auto"/>
                <w:sz w:val="22"/>
                <w:highlight w:val="none"/>
                <w:lang w:val="en-US" w:eastAsia="zh-CN"/>
              </w:rPr>
              <w:t>2</w:t>
            </w:r>
            <w:r>
              <w:rPr>
                <w:rFonts w:ascii="宋体" w:hAnsi="宋体"/>
                <w:color w:val="auto"/>
                <w:sz w:val="22"/>
                <w:highlight w:val="none"/>
              </w:rPr>
              <w:t>、中标通知书</w:t>
            </w:r>
            <w:r>
              <w:rPr>
                <w:rFonts w:hint="eastAsia" w:ascii="宋体" w:hAnsi="宋体"/>
                <w:color w:val="auto"/>
                <w:sz w:val="22"/>
                <w:highlight w:val="none"/>
              </w:rPr>
              <w:t>发出后，中标人拒绝与采购人签订合同的，采购人可以按照评审报告推荐的中标候选人名单排序，确定下一候选人为中标人，也可以重新开展政府采购活动。</w:t>
            </w:r>
          </w:p>
        </w:tc>
      </w:tr>
      <w:bookmarkEnd w:id="5"/>
      <w:bookmarkEnd w:id="6"/>
      <w:bookmarkEnd w:id="7"/>
      <w:bookmarkEnd w:id="8"/>
      <w:bookmarkEnd w:id="9"/>
      <w:bookmarkEnd w:id="10"/>
      <w:bookmarkEnd w:id="11"/>
      <w:bookmarkEnd w:id="12"/>
      <w:bookmarkEnd w:id="13"/>
      <w:bookmarkEnd w:id="14"/>
      <w:bookmarkEnd w:id="15"/>
      <w:bookmarkEnd w:id="16"/>
      <w:bookmarkEnd w:id="17"/>
    </w:tbl>
    <w:p w14:paraId="1C851B74">
      <w:pPr>
        <w:pStyle w:val="4"/>
        <w:spacing w:line="360" w:lineRule="auto"/>
        <w:ind w:firstLine="720" w:firstLineChars="300"/>
        <w:rPr>
          <w:rFonts w:hAnsi="宋体"/>
          <w:color w:val="auto"/>
          <w:sz w:val="24"/>
          <w:highlight w:val="none"/>
        </w:rPr>
      </w:pPr>
    </w:p>
    <w:p w14:paraId="6A3265BC">
      <w:pPr>
        <w:tabs>
          <w:tab w:val="left" w:pos="-1080"/>
          <w:tab w:val="left" w:pos="180"/>
          <w:tab w:val="left" w:pos="1080"/>
        </w:tabs>
        <w:spacing w:line="360" w:lineRule="auto"/>
        <w:rPr>
          <w:rFonts w:ascii="宋体" w:hAnsi="宋体" w:eastAsia="宋体"/>
          <w:b/>
          <w:color w:val="auto"/>
          <w:sz w:val="24"/>
          <w:szCs w:val="24"/>
          <w:highlight w:val="none"/>
        </w:rPr>
      </w:pPr>
      <w:r>
        <w:rPr>
          <w:rFonts w:hint="eastAsia" w:ascii="宋体" w:hAnsi="宋体" w:eastAsia="宋体"/>
          <w:b/>
          <w:color w:val="auto"/>
          <w:sz w:val="24"/>
          <w:szCs w:val="24"/>
          <w:highlight w:val="none"/>
        </w:rPr>
        <w:t>附件：评标标准、权重</w:t>
      </w:r>
    </w:p>
    <w:tbl>
      <w:tblPr>
        <w:tblStyle w:val="6"/>
        <w:tblW w:w="88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2"/>
        <w:gridCol w:w="6985"/>
        <w:gridCol w:w="1124"/>
      </w:tblGrid>
      <w:tr w14:paraId="7AA8D2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blHeader/>
          <w:jc w:val="center"/>
        </w:trPr>
        <w:tc>
          <w:tcPr>
            <w:tcW w:w="772" w:type="dxa"/>
            <w:noWrap w:val="0"/>
            <w:vAlign w:val="center"/>
          </w:tcPr>
          <w:p w14:paraId="21EBB2DE">
            <w:pPr>
              <w:tabs>
                <w:tab w:val="left" w:pos="900"/>
                <w:tab w:val="left" w:pos="1080"/>
              </w:tabs>
              <w:spacing w:line="48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6985" w:type="dxa"/>
            <w:noWrap w:val="0"/>
            <w:vAlign w:val="center"/>
          </w:tcPr>
          <w:p w14:paraId="4F1F7E85">
            <w:pPr>
              <w:tabs>
                <w:tab w:val="left" w:pos="900"/>
                <w:tab w:val="left" w:pos="1080"/>
              </w:tabs>
              <w:spacing w:line="480" w:lineRule="exact"/>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评分界定</w:t>
            </w:r>
          </w:p>
        </w:tc>
        <w:tc>
          <w:tcPr>
            <w:tcW w:w="1124" w:type="dxa"/>
            <w:noWrap w:val="0"/>
            <w:vAlign w:val="center"/>
          </w:tcPr>
          <w:p w14:paraId="3198570C">
            <w:pPr>
              <w:tabs>
                <w:tab w:val="left" w:pos="900"/>
                <w:tab w:val="left" w:pos="1080"/>
              </w:tabs>
              <w:spacing w:line="480" w:lineRule="exact"/>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满分值</w:t>
            </w:r>
          </w:p>
        </w:tc>
      </w:tr>
      <w:tr w14:paraId="1112E9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2" w:hRule="atLeast"/>
          <w:jc w:val="center"/>
        </w:trPr>
        <w:tc>
          <w:tcPr>
            <w:tcW w:w="8881" w:type="dxa"/>
            <w:gridSpan w:val="3"/>
            <w:noWrap w:val="0"/>
            <w:vAlign w:val="center"/>
          </w:tcPr>
          <w:p w14:paraId="3A4D0D72">
            <w:pPr>
              <w:spacing w:line="48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1、技术因素（满分</w:t>
            </w:r>
            <w:r>
              <w:rPr>
                <w:rFonts w:hint="eastAsia" w:ascii="宋体" w:hAnsi="宋体" w:cs="宋体"/>
                <w:b/>
                <w:color w:val="auto"/>
                <w:sz w:val="24"/>
                <w:szCs w:val="24"/>
                <w:highlight w:val="none"/>
                <w:lang w:val="en-US" w:eastAsia="zh-CN"/>
              </w:rPr>
              <w:t>55</w:t>
            </w:r>
            <w:r>
              <w:rPr>
                <w:rFonts w:hint="eastAsia" w:ascii="宋体" w:hAnsi="宋体" w:eastAsia="宋体" w:cs="宋体"/>
                <w:b/>
                <w:color w:val="auto"/>
                <w:sz w:val="24"/>
                <w:szCs w:val="24"/>
                <w:highlight w:val="none"/>
              </w:rPr>
              <w:t>分）</w:t>
            </w:r>
          </w:p>
        </w:tc>
      </w:tr>
      <w:tr w14:paraId="610EBF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3B889591">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4FE8826E">
            <w:pPr>
              <w:widowControl/>
              <w:spacing w:line="360" w:lineRule="auto"/>
              <w:jc w:val="left"/>
              <w:rPr>
                <w:rFonts w:ascii="宋体" w:hAnsi="宋体" w:eastAsia="宋体" w:cs="宋体"/>
                <w:bCs/>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根据各投标人对所投产品安装所需要的各项配置（包括如专用工具、附件或配件、备品备件等）的响应情况，由评委进行评议并打分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各项配置均列明表格且详细说明的得</w:t>
            </w:r>
            <w:r>
              <w:rPr>
                <w:rFonts w:hint="eastAsia" w:ascii="宋体" w:hAnsi="宋体" w:cs="宋体"/>
                <w:bCs/>
                <w:color w:val="auto"/>
                <w:sz w:val="24"/>
                <w:szCs w:val="24"/>
                <w:highlight w:val="none"/>
                <w:shd w:val="clear" w:color="auto" w:fill="FFFFFF"/>
                <w:lang w:val="en-US" w:eastAsia="zh-CN"/>
              </w:rPr>
              <w:t>10</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配置描述不齐全但能提供详细说明的得</w:t>
            </w:r>
            <w:r>
              <w:rPr>
                <w:rFonts w:hint="eastAsia" w:ascii="宋体" w:hAnsi="宋体" w:cs="宋体"/>
                <w:bCs/>
                <w:color w:val="auto"/>
                <w:sz w:val="24"/>
                <w:szCs w:val="24"/>
                <w:highlight w:val="none"/>
                <w:shd w:val="clear" w:color="auto" w:fill="FFFFFF"/>
                <w:lang w:val="en-US" w:eastAsia="zh-CN"/>
              </w:rPr>
              <w:t>5</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rPr>
              <w:t>仅附表格但未做详细说明的得</w:t>
            </w:r>
            <w:r>
              <w:rPr>
                <w:rFonts w:hint="eastAsia" w:ascii="宋体" w:hAnsi="宋体" w:cs="宋体"/>
                <w:bCs/>
                <w:color w:val="auto"/>
                <w:sz w:val="24"/>
                <w:szCs w:val="24"/>
                <w:highlight w:val="none"/>
                <w:shd w:val="clear" w:color="auto" w:fill="FFFFFF"/>
                <w:lang w:val="en-US" w:eastAsia="zh-CN"/>
              </w:rPr>
              <w:t>2</w:t>
            </w:r>
            <w:r>
              <w:rPr>
                <w:rFonts w:hint="eastAsia"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提供不齐全的或未提供的不得分。</w:t>
            </w:r>
          </w:p>
        </w:tc>
        <w:tc>
          <w:tcPr>
            <w:tcW w:w="1124" w:type="dxa"/>
            <w:noWrap w:val="0"/>
            <w:vAlign w:val="center"/>
          </w:tcPr>
          <w:p w14:paraId="517CCC39">
            <w:pPr>
              <w:widowControl/>
              <w:spacing w:line="24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198E1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4536E084">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3B5D6C73">
            <w:pPr>
              <w:widowControl/>
              <w:spacing w:line="360" w:lineRule="auto"/>
              <w:jc w:val="left"/>
              <w:rPr>
                <w:rFonts w:ascii="宋体" w:hAnsi="宋体" w:eastAsia="宋体" w:cs="宋体"/>
                <w:bCs/>
                <w:color w:val="auto"/>
                <w:kern w:val="0"/>
                <w:sz w:val="24"/>
                <w:szCs w:val="24"/>
                <w:highlight w:val="none"/>
              </w:rPr>
            </w:pPr>
            <w:r>
              <w:rPr>
                <w:rFonts w:ascii="宋体" w:hAnsi="宋体" w:eastAsia="宋体" w:cs="宋体"/>
                <w:bCs/>
                <w:color w:val="auto"/>
                <w:kern w:val="0"/>
                <w:sz w:val="24"/>
                <w:szCs w:val="24"/>
                <w:highlight w:val="none"/>
              </w:rPr>
              <w:t>根据投标人提供的安全生产防范保障措施方案，由评委进行评分：有具体实施安全生产防范保障措施方案、各阶段内容明确详细，步骤明确的得</w:t>
            </w:r>
            <w:r>
              <w:rPr>
                <w:rFonts w:hint="eastAsia" w:ascii="宋体" w:hAnsi="宋体" w:cs="宋体"/>
                <w:bCs/>
                <w:color w:val="auto"/>
                <w:kern w:val="0"/>
                <w:sz w:val="24"/>
                <w:szCs w:val="24"/>
                <w:highlight w:val="none"/>
                <w:lang w:val="en-US" w:eastAsia="zh-CN"/>
              </w:rPr>
              <w:t>10</w:t>
            </w:r>
            <w:r>
              <w:rPr>
                <w:rFonts w:ascii="宋体" w:hAnsi="宋体" w:eastAsia="宋体" w:cs="宋体"/>
                <w:bCs/>
                <w:color w:val="auto"/>
                <w:kern w:val="0"/>
                <w:sz w:val="24"/>
                <w:szCs w:val="24"/>
                <w:highlight w:val="none"/>
              </w:rPr>
              <w:t>分；有具体实施安全生产防范保障措施方案、有各阶段内容，有步骤，但不详细的得</w:t>
            </w:r>
            <w:r>
              <w:rPr>
                <w:rFonts w:hint="eastAsia" w:ascii="宋体" w:hAnsi="宋体" w:cs="宋体"/>
                <w:bCs/>
                <w:color w:val="auto"/>
                <w:kern w:val="0"/>
                <w:sz w:val="24"/>
                <w:szCs w:val="24"/>
                <w:highlight w:val="none"/>
                <w:lang w:val="en-US" w:eastAsia="zh-CN"/>
              </w:rPr>
              <w:t>5</w:t>
            </w:r>
            <w:r>
              <w:rPr>
                <w:rFonts w:ascii="宋体" w:hAnsi="宋体" w:eastAsia="宋体" w:cs="宋体"/>
                <w:bCs/>
                <w:color w:val="auto"/>
                <w:kern w:val="0"/>
                <w:sz w:val="24"/>
                <w:szCs w:val="24"/>
                <w:highlight w:val="none"/>
              </w:rPr>
              <w:t>分；有具体实施安全生产防范保障措施方案、但各阶段工作不明确的得</w:t>
            </w:r>
            <w:r>
              <w:rPr>
                <w:rFonts w:hint="eastAsia" w:ascii="宋体" w:hAnsi="宋体" w:cs="宋体"/>
                <w:bCs/>
                <w:color w:val="auto"/>
                <w:kern w:val="0"/>
                <w:sz w:val="24"/>
                <w:szCs w:val="24"/>
                <w:highlight w:val="none"/>
                <w:lang w:val="en-US" w:eastAsia="zh-CN"/>
              </w:rPr>
              <w:t>2</w:t>
            </w:r>
            <w:r>
              <w:rPr>
                <w:rFonts w:ascii="宋体" w:hAnsi="宋体" w:eastAsia="宋体" w:cs="宋体"/>
                <w:bCs/>
                <w:color w:val="auto"/>
                <w:kern w:val="0"/>
                <w:sz w:val="24"/>
                <w:szCs w:val="24"/>
                <w:highlight w:val="none"/>
              </w:rPr>
              <w:t>分；提供不齐全的或未提供的不得分。</w:t>
            </w:r>
          </w:p>
        </w:tc>
        <w:tc>
          <w:tcPr>
            <w:tcW w:w="1124" w:type="dxa"/>
            <w:noWrap w:val="0"/>
            <w:vAlign w:val="center"/>
          </w:tcPr>
          <w:p w14:paraId="32B4E452">
            <w:pPr>
              <w:widowControl/>
              <w:spacing w:line="240" w:lineRule="atLeast"/>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2C47B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7CC6C862">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11FA46A1">
            <w:pPr>
              <w:widowControl/>
              <w:spacing w:line="360" w:lineRule="auto"/>
              <w:jc w:val="left"/>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根据</w:t>
            </w:r>
            <w:r>
              <w:rPr>
                <w:rFonts w:hint="default" w:ascii="宋体" w:hAnsi="宋体" w:eastAsia="宋体" w:cs="宋体"/>
                <w:bCs/>
                <w:color w:val="auto"/>
                <w:sz w:val="24"/>
                <w:szCs w:val="24"/>
                <w:highlight w:val="none"/>
                <w:lang w:val="en-US" w:eastAsia="zh-CN"/>
              </w:rPr>
              <w:t>投标人针对本次采购文化墙所提交的整体设计方案进行评价，</w:t>
            </w:r>
            <w:r>
              <w:rPr>
                <w:rFonts w:hint="eastAsia" w:ascii="宋体" w:hAnsi="宋体" w:cs="宋体"/>
                <w:bCs/>
                <w:color w:val="auto"/>
                <w:sz w:val="24"/>
                <w:szCs w:val="24"/>
                <w:highlight w:val="none"/>
                <w:lang w:val="en-US" w:eastAsia="zh-CN"/>
              </w:rPr>
              <w:t>方案需涵盖</w:t>
            </w:r>
            <w:r>
              <w:rPr>
                <w:rFonts w:hint="default" w:ascii="宋体" w:hAnsi="宋体" w:eastAsia="宋体" w:cs="宋体"/>
                <w:bCs/>
                <w:color w:val="auto"/>
                <w:sz w:val="24"/>
                <w:szCs w:val="24"/>
                <w:highlight w:val="none"/>
                <w:lang w:val="en-US" w:eastAsia="zh-CN"/>
              </w:rPr>
              <w:t>设计说明理念、详细设计图，</w:t>
            </w:r>
            <w:r>
              <w:rPr>
                <w:rFonts w:hint="eastAsia" w:ascii="宋体" w:hAnsi="宋体" w:cs="宋体"/>
                <w:bCs/>
                <w:color w:val="auto"/>
                <w:sz w:val="24"/>
                <w:szCs w:val="24"/>
                <w:highlight w:val="none"/>
                <w:lang w:val="en-US" w:eastAsia="zh-CN"/>
              </w:rPr>
              <w:t>文化墙</w:t>
            </w:r>
            <w:r>
              <w:rPr>
                <w:rFonts w:hint="default" w:ascii="宋体" w:hAnsi="宋体" w:eastAsia="宋体" w:cs="宋体"/>
                <w:bCs/>
                <w:color w:val="auto"/>
                <w:sz w:val="24"/>
                <w:szCs w:val="24"/>
                <w:highlight w:val="none"/>
                <w:lang w:val="en-US" w:eastAsia="zh-CN"/>
              </w:rPr>
              <w:t>样式及实物参考图片</w:t>
            </w:r>
            <w:r>
              <w:rPr>
                <w:rFonts w:hint="eastAsia" w:ascii="宋体" w:hAnsi="宋体" w:cs="宋体"/>
                <w:bCs/>
                <w:color w:val="auto"/>
                <w:sz w:val="24"/>
                <w:szCs w:val="24"/>
                <w:highlight w:val="none"/>
                <w:lang w:val="en-US" w:eastAsia="zh-CN"/>
              </w:rPr>
              <w:t>。有基础</w:t>
            </w:r>
            <w:r>
              <w:rPr>
                <w:rFonts w:hint="default" w:ascii="宋体" w:hAnsi="宋体" w:eastAsia="宋体" w:cs="宋体"/>
                <w:bCs/>
                <w:color w:val="auto"/>
                <w:sz w:val="24"/>
                <w:szCs w:val="24"/>
                <w:highlight w:val="none"/>
                <w:lang w:val="en-US" w:eastAsia="zh-CN"/>
              </w:rPr>
              <w:t>方案得</w:t>
            </w:r>
            <w:r>
              <w:rPr>
                <w:rFonts w:hint="eastAsia" w:ascii="宋体" w:hAnsi="宋体" w:cs="宋体"/>
                <w:bCs/>
                <w:color w:val="auto"/>
                <w:sz w:val="24"/>
                <w:szCs w:val="24"/>
                <w:highlight w:val="none"/>
                <w:lang w:val="en-US" w:eastAsia="zh-CN"/>
              </w:rPr>
              <w:t>6</w:t>
            </w:r>
            <w:r>
              <w:rPr>
                <w:rFonts w:hint="default" w:ascii="宋体" w:hAnsi="宋体" w:eastAsia="宋体" w:cs="宋体"/>
                <w:bCs/>
                <w:color w:val="auto"/>
                <w:sz w:val="24"/>
                <w:szCs w:val="24"/>
                <w:highlight w:val="none"/>
                <w:lang w:val="en-US" w:eastAsia="zh-CN"/>
              </w:rPr>
              <w:t>分</w:t>
            </w:r>
            <w:r>
              <w:rPr>
                <w:rFonts w:hint="eastAsia" w:ascii="宋体" w:hAnsi="宋体" w:cs="宋体"/>
                <w:bCs/>
                <w:color w:val="auto"/>
                <w:sz w:val="24"/>
                <w:szCs w:val="24"/>
                <w:highlight w:val="none"/>
                <w:lang w:val="en-US" w:eastAsia="zh-CN"/>
              </w:rPr>
              <w:t>；设计理念与采购方文化契合度高加3分；方案完整性高，包含设计说明、详细图纸及实物参考图片加3分；能多维度精准匹配需求且具备创新价值加3分；满分15分，未提供设计方案不得分</w:t>
            </w:r>
            <w:r>
              <w:rPr>
                <w:rFonts w:hint="default" w:ascii="宋体" w:hAnsi="宋体" w:eastAsia="宋体" w:cs="宋体"/>
                <w:bCs/>
                <w:color w:val="auto"/>
                <w:sz w:val="24"/>
                <w:szCs w:val="24"/>
                <w:highlight w:val="none"/>
                <w:lang w:val="en-US" w:eastAsia="zh-CN"/>
              </w:rPr>
              <w:t>。</w:t>
            </w:r>
          </w:p>
        </w:tc>
        <w:tc>
          <w:tcPr>
            <w:tcW w:w="1124" w:type="dxa"/>
            <w:noWrap w:val="0"/>
            <w:vAlign w:val="center"/>
          </w:tcPr>
          <w:p w14:paraId="3F02A831">
            <w:pPr>
              <w:widowControl/>
              <w:spacing w:line="240" w:lineRule="atLeast"/>
              <w:jc w:val="center"/>
              <w:rPr>
                <w:rFonts w:hint="default" w:ascii="宋体" w:hAnsi="宋体" w:eastAsia="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15</w:t>
            </w:r>
          </w:p>
        </w:tc>
      </w:tr>
      <w:tr w14:paraId="00855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688B092B">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4F83A8B7">
            <w:pPr>
              <w:widowControl/>
              <w:spacing w:line="360" w:lineRule="auto"/>
              <w:jc w:val="left"/>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根据投标人提供的货品包装、运输、装卸、供货、安装组织的具体实施方案等进行评价：整体实施方案</w:t>
            </w:r>
            <w:r>
              <w:rPr>
                <w:rFonts w:ascii="宋体" w:hAnsi="宋体" w:eastAsia="宋体" w:cs="宋体"/>
                <w:bCs/>
                <w:color w:val="auto"/>
                <w:sz w:val="24"/>
                <w:szCs w:val="24"/>
                <w:highlight w:val="none"/>
                <w:shd w:val="clear" w:color="auto" w:fill="FFFFFF"/>
              </w:rPr>
              <w:t>具体</w:t>
            </w:r>
            <w:r>
              <w:rPr>
                <w:rFonts w:hint="eastAsia" w:ascii="宋体" w:hAnsi="宋体" w:eastAsia="宋体" w:cs="宋体"/>
                <w:bCs/>
                <w:color w:val="auto"/>
                <w:sz w:val="24"/>
                <w:szCs w:val="24"/>
                <w:highlight w:val="none"/>
                <w:shd w:val="clear" w:color="auto" w:fill="FFFFFF"/>
                <w:lang w:val="en-US" w:eastAsia="zh-CN"/>
              </w:rPr>
              <w:t>详细</w:t>
            </w:r>
            <w:r>
              <w:rPr>
                <w:rFonts w:ascii="宋体" w:hAnsi="宋体" w:eastAsia="宋体" w:cs="宋体"/>
                <w:bCs/>
                <w:color w:val="auto"/>
                <w:sz w:val="24"/>
                <w:szCs w:val="24"/>
                <w:highlight w:val="none"/>
                <w:shd w:val="clear" w:color="auto" w:fill="FFFFFF"/>
              </w:rPr>
              <w:t>、契合实际、可实施</w:t>
            </w:r>
            <w:r>
              <w:rPr>
                <w:rFonts w:hint="eastAsia" w:ascii="宋体" w:hAnsi="宋体" w:eastAsia="宋体" w:cs="宋体"/>
                <w:bCs/>
                <w:color w:val="auto"/>
                <w:sz w:val="24"/>
                <w:szCs w:val="24"/>
                <w:highlight w:val="none"/>
                <w:shd w:val="clear" w:color="auto" w:fill="FFFFFF"/>
                <w:lang w:val="en-US" w:eastAsia="zh-CN"/>
              </w:rPr>
              <w:t>性强</w:t>
            </w:r>
            <w:r>
              <w:rPr>
                <w:rFonts w:ascii="宋体" w:hAnsi="宋体" w:eastAsia="宋体" w:cs="宋体"/>
                <w:bCs/>
                <w:color w:val="auto"/>
                <w:sz w:val="24"/>
                <w:szCs w:val="24"/>
                <w:highlight w:val="none"/>
                <w:shd w:val="clear" w:color="auto" w:fill="FFFFFF"/>
              </w:rPr>
              <w:t>的得</w:t>
            </w:r>
            <w:r>
              <w:rPr>
                <w:rFonts w:hint="eastAsia" w:ascii="宋体" w:hAnsi="宋体" w:cs="宋体"/>
                <w:bCs/>
                <w:color w:val="auto"/>
                <w:sz w:val="24"/>
                <w:szCs w:val="24"/>
                <w:highlight w:val="none"/>
                <w:shd w:val="clear" w:color="auto" w:fill="FFFFFF"/>
                <w:lang w:val="en-US" w:eastAsia="zh-CN"/>
              </w:rPr>
              <w:t>10</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方案简单，贴合实际、可实施</w:t>
            </w:r>
            <w:r>
              <w:rPr>
                <w:rFonts w:hint="eastAsia" w:ascii="宋体" w:hAnsi="宋体" w:eastAsia="宋体" w:cs="宋体"/>
                <w:bCs/>
                <w:color w:val="auto"/>
                <w:sz w:val="24"/>
                <w:szCs w:val="24"/>
                <w:highlight w:val="none"/>
                <w:shd w:val="clear" w:color="auto" w:fill="FFFFFF"/>
                <w:lang w:val="en-US" w:eastAsia="zh-CN"/>
              </w:rPr>
              <w:t>性一般</w:t>
            </w:r>
            <w:r>
              <w:rPr>
                <w:rFonts w:ascii="宋体" w:hAnsi="宋体" w:eastAsia="宋体" w:cs="宋体"/>
                <w:bCs/>
                <w:color w:val="auto"/>
                <w:sz w:val="24"/>
                <w:szCs w:val="24"/>
                <w:highlight w:val="none"/>
                <w:shd w:val="clear" w:color="auto" w:fill="FFFFFF"/>
              </w:rPr>
              <w:t>的得</w:t>
            </w:r>
            <w:r>
              <w:rPr>
                <w:rFonts w:hint="eastAsia" w:ascii="宋体" w:hAnsi="宋体" w:cs="宋体"/>
                <w:bCs/>
                <w:color w:val="auto"/>
                <w:sz w:val="24"/>
                <w:szCs w:val="24"/>
                <w:highlight w:val="none"/>
                <w:shd w:val="clear" w:color="auto" w:fill="FFFFFF"/>
                <w:lang w:val="en-US" w:eastAsia="zh-CN"/>
              </w:rPr>
              <w:t>5</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方案仅笼统概括或与实际有出入或实施有困难的得</w:t>
            </w:r>
            <w:r>
              <w:rPr>
                <w:rFonts w:hint="eastAsia" w:ascii="宋体" w:hAnsi="宋体" w:cs="宋体"/>
                <w:bCs/>
                <w:color w:val="auto"/>
                <w:sz w:val="24"/>
                <w:szCs w:val="24"/>
                <w:highlight w:val="none"/>
                <w:shd w:val="clear" w:color="auto" w:fill="FFFFFF"/>
                <w:lang w:val="en-US" w:eastAsia="zh-CN"/>
              </w:rPr>
              <w:t>2</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提供的方案不符合本项目需求的或未提供的不得分。</w:t>
            </w:r>
          </w:p>
        </w:tc>
        <w:tc>
          <w:tcPr>
            <w:tcW w:w="1124" w:type="dxa"/>
            <w:noWrap w:val="0"/>
            <w:vAlign w:val="center"/>
          </w:tcPr>
          <w:p w14:paraId="23ED87DA">
            <w:pPr>
              <w:widowControl/>
              <w:spacing w:line="240" w:lineRule="atLeast"/>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kern w:val="0"/>
                <w:sz w:val="24"/>
                <w:szCs w:val="24"/>
                <w:highlight w:val="none"/>
                <w:lang w:val="en-US" w:eastAsia="zh-CN"/>
              </w:rPr>
              <w:t>10</w:t>
            </w:r>
          </w:p>
        </w:tc>
      </w:tr>
      <w:tr w14:paraId="59A45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6E175144">
            <w:pPr>
              <w:pStyle w:val="9"/>
              <w:numPr>
                <w:ilvl w:val="0"/>
                <w:numId w:val="1"/>
              </w:numPr>
              <w:spacing w:line="480" w:lineRule="exact"/>
              <w:jc w:val="both"/>
              <w:rPr>
                <w:rFonts w:ascii="宋体" w:hAnsi="宋体" w:eastAsia="宋体" w:cs="宋体"/>
                <w:bCs/>
                <w:color w:val="auto"/>
                <w:kern w:val="10"/>
                <w:sz w:val="24"/>
                <w:szCs w:val="24"/>
                <w:highlight w:val="none"/>
              </w:rPr>
            </w:pPr>
          </w:p>
        </w:tc>
        <w:tc>
          <w:tcPr>
            <w:tcW w:w="6985" w:type="dxa"/>
            <w:noWrap w:val="0"/>
            <w:vAlign w:val="center"/>
          </w:tcPr>
          <w:p w14:paraId="7DA73AD6">
            <w:pPr>
              <w:widowControl/>
              <w:spacing w:line="360" w:lineRule="auto"/>
              <w:jc w:val="left"/>
              <w:rPr>
                <w:rStyle w:val="10"/>
                <w:bCs/>
                <w:color w:val="auto"/>
                <w:highlight w:val="none"/>
              </w:rPr>
            </w:pPr>
            <w:r>
              <w:rPr>
                <w:rFonts w:hint="eastAsia" w:ascii="宋体" w:hAnsi="宋体" w:eastAsia="宋体" w:cs="宋体"/>
                <w:bCs/>
                <w:color w:val="auto"/>
                <w:sz w:val="24"/>
                <w:szCs w:val="24"/>
                <w:highlight w:val="none"/>
              </w:rPr>
              <w:t>根据投标人的本地化服务能力进行评价：</w:t>
            </w:r>
            <w:r>
              <w:rPr>
                <w:rFonts w:ascii="宋体" w:hAnsi="宋体" w:eastAsia="宋体" w:cs="宋体"/>
                <w:bCs/>
                <w:color w:val="auto"/>
                <w:kern w:val="0"/>
                <w:sz w:val="24"/>
                <w:szCs w:val="24"/>
                <w:highlight w:val="none"/>
              </w:rPr>
              <w:t>①</w:t>
            </w:r>
            <w:r>
              <w:rPr>
                <w:rFonts w:hint="eastAsia" w:ascii="宋体" w:hAnsi="宋体" w:eastAsia="宋体" w:cs="宋体"/>
                <w:bCs/>
                <w:color w:val="auto"/>
                <w:sz w:val="24"/>
                <w:szCs w:val="24"/>
                <w:highlight w:val="none"/>
              </w:rPr>
              <w:t>投标人承诺中标后在项目所在地提供本地化服务的得</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分；</w:t>
            </w:r>
            <w:r>
              <w:rPr>
                <w:rFonts w:ascii="宋体" w:hAnsi="宋体" w:eastAsia="宋体" w:cs="宋体"/>
                <w:bCs/>
                <w:color w:val="auto"/>
                <w:kern w:val="0"/>
                <w:sz w:val="24"/>
                <w:szCs w:val="24"/>
                <w:highlight w:val="none"/>
              </w:rPr>
              <w:t>② 在前项①的基础上，</w:t>
            </w:r>
            <w:r>
              <w:rPr>
                <w:rFonts w:hint="eastAsia" w:ascii="宋体" w:hAnsi="宋体" w:eastAsia="宋体" w:cs="宋体"/>
                <w:bCs/>
                <w:color w:val="auto"/>
                <w:sz w:val="24"/>
                <w:szCs w:val="24"/>
                <w:highlight w:val="none"/>
              </w:rPr>
              <w:t>公司注册在厦门本地或在厦门有分公司或办事机构或设有备案服务机构或有服务合作单位的，得</w:t>
            </w:r>
            <w:r>
              <w:rPr>
                <w:rFonts w:hint="eastAsia" w:ascii="宋体" w:hAnsi="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分，须提供承诺及营业执照、设立分公司、办事机构、备案机构证明材料或合作协议，以及办公场所产权证或租赁合同；未提供证明材料或提供证明材料不全的不得分。说明：须提供承诺函，格式自拟。</w:t>
            </w:r>
          </w:p>
        </w:tc>
        <w:tc>
          <w:tcPr>
            <w:tcW w:w="1124" w:type="dxa"/>
            <w:noWrap w:val="0"/>
            <w:vAlign w:val="center"/>
          </w:tcPr>
          <w:p w14:paraId="3EA33225">
            <w:pPr>
              <w:widowControl/>
              <w:spacing w:line="240" w:lineRule="atLeast"/>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165A0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81" w:type="dxa"/>
            <w:gridSpan w:val="3"/>
            <w:noWrap w:val="0"/>
            <w:vAlign w:val="center"/>
          </w:tcPr>
          <w:p w14:paraId="3546505F">
            <w:pPr>
              <w:spacing w:line="480" w:lineRule="exact"/>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2、商务因素（满分</w:t>
            </w:r>
            <w:r>
              <w:rPr>
                <w:rFonts w:hint="eastAsia" w:ascii="宋体" w:hAnsi="宋体" w:cs="宋体"/>
                <w:b/>
                <w:color w:val="auto"/>
                <w:sz w:val="24"/>
                <w:szCs w:val="24"/>
                <w:highlight w:val="none"/>
                <w:lang w:val="en-US" w:eastAsia="zh-CN"/>
              </w:rPr>
              <w:t>25</w:t>
            </w:r>
            <w:r>
              <w:rPr>
                <w:rFonts w:hint="eastAsia" w:ascii="宋体" w:hAnsi="宋体" w:eastAsia="宋体" w:cs="宋体"/>
                <w:b/>
                <w:color w:val="auto"/>
                <w:sz w:val="24"/>
                <w:szCs w:val="24"/>
                <w:highlight w:val="none"/>
              </w:rPr>
              <w:t>分）</w:t>
            </w:r>
          </w:p>
        </w:tc>
      </w:tr>
      <w:tr w14:paraId="3319D4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3360BA72">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0DE4F22D">
            <w:pPr>
              <w:widowControl/>
              <w:spacing w:line="360" w:lineRule="auto"/>
              <w:jc w:val="left"/>
              <w:rPr>
                <w:rFonts w:ascii="宋体" w:hAnsi="宋体" w:eastAsia="宋体" w:cs="宋体"/>
                <w:bCs/>
                <w:color w:val="auto"/>
                <w:sz w:val="24"/>
                <w:szCs w:val="24"/>
                <w:highlight w:val="none"/>
                <w:shd w:val="clear" w:color="auto" w:fill="FFFFFF"/>
              </w:rPr>
            </w:pPr>
            <w:r>
              <w:rPr>
                <w:rFonts w:ascii="宋体" w:hAnsi="宋体" w:eastAsia="宋体" w:cs="宋体"/>
                <w:bCs/>
                <w:color w:val="auto"/>
                <w:sz w:val="24"/>
                <w:szCs w:val="24"/>
                <w:highlight w:val="none"/>
                <w:shd w:val="clear" w:color="auto" w:fill="FFFFFF"/>
              </w:rPr>
              <w:t>根据投标人所提供售后服务方案，从完善程度、可行性等方面进行评议并评分（内容包括但不限于售后服务机构、售后人员、质保期后维保服务等）</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方案完善具体、契合实际、可实施的得</w:t>
            </w:r>
            <w:r>
              <w:rPr>
                <w:rFonts w:hint="eastAsia" w:ascii="宋体" w:hAnsi="宋体" w:cs="宋体"/>
                <w:bCs/>
                <w:color w:val="auto"/>
                <w:sz w:val="24"/>
                <w:szCs w:val="24"/>
                <w:highlight w:val="none"/>
                <w:shd w:val="clear" w:color="auto" w:fill="FFFFFF"/>
                <w:lang w:val="en-US" w:eastAsia="zh-CN"/>
              </w:rPr>
              <w:t>10</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方案简单，贴合实际、可实施的得</w:t>
            </w:r>
            <w:r>
              <w:rPr>
                <w:rFonts w:hint="eastAsia" w:ascii="宋体" w:hAnsi="宋体" w:cs="宋体"/>
                <w:bCs/>
                <w:color w:val="auto"/>
                <w:sz w:val="24"/>
                <w:szCs w:val="24"/>
                <w:highlight w:val="none"/>
                <w:shd w:val="clear" w:color="auto" w:fill="FFFFFF"/>
                <w:lang w:val="en-US" w:eastAsia="zh-CN"/>
              </w:rPr>
              <w:t>5</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方案仅笼统概括或与实际有出入或实施有困难的得</w:t>
            </w:r>
            <w:r>
              <w:rPr>
                <w:rFonts w:hint="eastAsia" w:ascii="宋体" w:hAnsi="宋体" w:cs="宋体"/>
                <w:bCs/>
                <w:color w:val="auto"/>
                <w:sz w:val="24"/>
                <w:szCs w:val="24"/>
                <w:highlight w:val="none"/>
                <w:shd w:val="clear" w:color="auto" w:fill="FFFFFF"/>
                <w:lang w:val="en-US" w:eastAsia="zh-CN"/>
              </w:rPr>
              <w:t>2</w:t>
            </w:r>
            <w:r>
              <w:rPr>
                <w:rFonts w:ascii="宋体" w:hAnsi="宋体" w:eastAsia="宋体" w:cs="宋体"/>
                <w:bCs/>
                <w:color w:val="auto"/>
                <w:sz w:val="24"/>
                <w:szCs w:val="24"/>
                <w:highlight w:val="none"/>
                <w:shd w:val="clear" w:color="auto" w:fill="FFFFFF"/>
              </w:rPr>
              <w:t>分</w:t>
            </w:r>
            <w:r>
              <w:rPr>
                <w:rFonts w:hint="eastAsia" w:ascii="宋体" w:hAnsi="宋体" w:eastAsia="宋体" w:cs="宋体"/>
                <w:bCs/>
                <w:color w:val="auto"/>
                <w:sz w:val="24"/>
                <w:szCs w:val="24"/>
                <w:highlight w:val="none"/>
                <w:shd w:val="clear" w:color="auto" w:fill="FFFFFF"/>
                <w:lang w:eastAsia="zh-CN"/>
              </w:rPr>
              <w:t>；</w:t>
            </w:r>
            <w:r>
              <w:rPr>
                <w:rFonts w:ascii="宋体" w:hAnsi="宋体" w:eastAsia="宋体" w:cs="宋体"/>
                <w:bCs/>
                <w:color w:val="auto"/>
                <w:sz w:val="24"/>
                <w:szCs w:val="24"/>
                <w:highlight w:val="none"/>
                <w:shd w:val="clear" w:color="auto" w:fill="FFFFFF"/>
              </w:rPr>
              <w:t>提供的方案不符合本项目需求的或未提供的不得分。</w:t>
            </w:r>
          </w:p>
        </w:tc>
        <w:tc>
          <w:tcPr>
            <w:tcW w:w="1124" w:type="dxa"/>
            <w:noWrap w:val="0"/>
            <w:vAlign w:val="center"/>
          </w:tcPr>
          <w:p w14:paraId="0EAF0FFD">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379680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17EFE958">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7802F928">
            <w:pPr>
              <w:widowControl/>
              <w:spacing w:line="360" w:lineRule="auto"/>
              <w:jc w:val="left"/>
              <w:rPr>
                <w:rStyle w:val="10"/>
                <w:rFonts w:hint="default" w:eastAsia="宋体"/>
                <w:bCs/>
                <w:color w:val="auto"/>
                <w:highlight w:val="none"/>
                <w:lang w:val="en-US" w:eastAsia="zh-CN"/>
              </w:rPr>
            </w:pPr>
            <w:r>
              <w:rPr>
                <w:rStyle w:val="10"/>
                <w:rFonts w:hint="eastAsia"/>
                <w:bCs/>
                <w:color w:val="auto"/>
                <w:highlight w:val="none"/>
                <w:lang w:val="en-US" w:eastAsia="zh-CN"/>
              </w:rPr>
              <w:t>根据投标人所提供过往服务相关展厅案例及合同进行评价：3个（含3个）及以上案例得10分；2个（含2个）至1个案例得5分；没有相关案例不得分。</w:t>
            </w:r>
          </w:p>
        </w:tc>
        <w:tc>
          <w:tcPr>
            <w:tcW w:w="1124" w:type="dxa"/>
            <w:noWrap w:val="0"/>
            <w:vAlign w:val="center"/>
          </w:tcPr>
          <w:p w14:paraId="449F36A9">
            <w:pPr>
              <w:spacing w:line="360" w:lineRule="auto"/>
              <w:jc w:val="center"/>
              <w:rPr>
                <w:rFonts w:hint="default" w:ascii="宋体" w:hAnsi="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10</w:t>
            </w:r>
          </w:p>
        </w:tc>
      </w:tr>
      <w:tr w14:paraId="1A32D9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72" w:type="dxa"/>
            <w:noWrap w:val="0"/>
            <w:vAlign w:val="center"/>
          </w:tcPr>
          <w:p w14:paraId="00D5F4DF">
            <w:pPr>
              <w:pStyle w:val="11"/>
              <w:numPr>
                <w:ilvl w:val="0"/>
                <w:numId w:val="2"/>
              </w:numPr>
              <w:spacing w:line="480" w:lineRule="exact"/>
              <w:ind w:firstLineChars="0"/>
              <w:jc w:val="center"/>
              <w:rPr>
                <w:rFonts w:ascii="宋体" w:hAnsi="宋体" w:eastAsia="宋体" w:cs="宋体"/>
                <w:bCs/>
                <w:color w:val="auto"/>
                <w:sz w:val="24"/>
                <w:szCs w:val="24"/>
                <w:highlight w:val="none"/>
              </w:rPr>
            </w:pPr>
          </w:p>
        </w:tc>
        <w:tc>
          <w:tcPr>
            <w:tcW w:w="6985" w:type="dxa"/>
            <w:noWrap w:val="0"/>
            <w:vAlign w:val="center"/>
          </w:tcPr>
          <w:p w14:paraId="51E57EE7">
            <w:pPr>
              <w:widowControl/>
              <w:spacing w:line="360" w:lineRule="auto"/>
              <w:jc w:val="left"/>
              <w:rPr>
                <w:rFonts w:ascii="宋体" w:hAnsi="宋体" w:eastAsia="宋体" w:cs="宋体"/>
                <w:bCs/>
                <w:color w:val="auto"/>
                <w:kern w:val="0"/>
                <w:sz w:val="24"/>
                <w:szCs w:val="24"/>
                <w:highlight w:val="none"/>
              </w:rPr>
            </w:pPr>
            <w:r>
              <w:rPr>
                <w:rStyle w:val="10"/>
                <w:bCs/>
                <w:color w:val="auto"/>
                <w:highlight w:val="none"/>
              </w:rPr>
              <w:t>根据投标人提供的产品质保期进行评价：投标人承诺的质保期满足招标文件要求</w:t>
            </w:r>
            <w:r>
              <w:rPr>
                <w:rStyle w:val="10"/>
                <w:rFonts w:hint="eastAsia" w:eastAsia="宋体"/>
                <w:bCs/>
                <w:color w:val="auto"/>
                <w:highlight w:val="none"/>
                <w:lang w:eastAsia="zh-CN"/>
              </w:rPr>
              <w:t>（</w:t>
            </w:r>
            <w:r>
              <w:rPr>
                <w:rStyle w:val="10"/>
                <w:rFonts w:hint="eastAsia"/>
                <w:bCs/>
                <w:color w:val="auto"/>
                <w:highlight w:val="none"/>
                <w:lang w:val="en-US" w:eastAsia="zh-CN"/>
              </w:rPr>
              <w:t>3</w:t>
            </w:r>
            <w:r>
              <w:rPr>
                <w:rStyle w:val="10"/>
                <w:rFonts w:hint="eastAsia" w:eastAsia="宋体"/>
                <w:bCs/>
                <w:color w:val="auto"/>
                <w:highlight w:val="none"/>
                <w:lang w:val="en-US" w:eastAsia="zh-CN"/>
              </w:rPr>
              <w:t>年）</w:t>
            </w:r>
            <w:r>
              <w:rPr>
                <w:rStyle w:val="10"/>
                <w:bCs/>
                <w:color w:val="auto"/>
                <w:highlight w:val="none"/>
              </w:rPr>
              <w:t>的</w:t>
            </w:r>
            <w:r>
              <w:rPr>
                <w:rStyle w:val="10"/>
                <w:rFonts w:hint="eastAsia" w:eastAsia="宋体"/>
                <w:bCs/>
                <w:color w:val="auto"/>
                <w:highlight w:val="none"/>
                <w:lang w:val="en-US" w:eastAsia="zh-CN"/>
              </w:rPr>
              <w:t>得</w:t>
            </w:r>
            <w:r>
              <w:rPr>
                <w:rStyle w:val="10"/>
                <w:rFonts w:hint="eastAsia"/>
                <w:bCs/>
                <w:color w:val="auto"/>
                <w:highlight w:val="none"/>
                <w:lang w:val="en-US" w:eastAsia="zh-CN"/>
              </w:rPr>
              <w:t>3</w:t>
            </w:r>
            <w:r>
              <w:rPr>
                <w:rStyle w:val="10"/>
                <w:rFonts w:hint="eastAsia" w:eastAsia="宋体"/>
                <w:bCs/>
                <w:color w:val="auto"/>
                <w:highlight w:val="none"/>
                <w:lang w:val="en-US" w:eastAsia="zh-CN"/>
              </w:rPr>
              <w:t>分，在此</w:t>
            </w:r>
            <w:r>
              <w:rPr>
                <w:rStyle w:val="10"/>
                <w:bCs/>
                <w:color w:val="auto"/>
                <w:highlight w:val="none"/>
              </w:rPr>
              <w:t>基础上延长1年质保加</w:t>
            </w:r>
            <w:r>
              <w:rPr>
                <w:rStyle w:val="10"/>
                <w:rFonts w:hint="eastAsia"/>
                <w:bCs/>
                <w:color w:val="auto"/>
                <w:highlight w:val="none"/>
                <w:lang w:val="en-US" w:eastAsia="zh-CN"/>
              </w:rPr>
              <w:t>2</w:t>
            </w:r>
            <w:r>
              <w:rPr>
                <w:rStyle w:val="10"/>
                <w:bCs/>
                <w:color w:val="auto"/>
                <w:highlight w:val="none"/>
              </w:rPr>
              <w:t>分，满分</w:t>
            </w:r>
            <w:r>
              <w:rPr>
                <w:rStyle w:val="10"/>
                <w:rFonts w:hint="eastAsia"/>
                <w:bCs/>
                <w:color w:val="auto"/>
                <w:highlight w:val="none"/>
                <w:lang w:val="en-US" w:eastAsia="zh-CN"/>
              </w:rPr>
              <w:t>5</w:t>
            </w:r>
            <w:r>
              <w:rPr>
                <w:rStyle w:val="10"/>
                <w:bCs/>
                <w:color w:val="auto"/>
                <w:highlight w:val="none"/>
              </w:rPr>
              <w:t>分</w:t>
            </w:r>
            <w:r>
              <w:rPr>
                <w:rFonts w:hint="eastAsia" w:ascii="宋体" w:hAnsi="宋体" w:eastAsia="宋体" w:cs="宋体"/>
                <w:bCs/>
                <w:color w:val="auto"/>
                <w:sz w:val="24"/>
                <w:szCs w:val="24"/>
                <w:highlight w:val="none"/>
                <w:shd w:val="clear" w:color="auto" w:fill="FFFFFF"/>
                <w:lang w:eastAsia="zh-CN"/>
              </w:rPr>
              <w:t>，</w:t>
            </w:r>
            <w:r>
              <w:rPr>
                <w:rFonts w:hint="eastAsia" w:ascii="宋体" w:hAnsi="宋体" w:eastAsia="宋体" w:cs="宋体"/>
                <w:bCs/>
                <w:color w:val="auto"/>
                <w:sz w:val="24"/>
                <w:szCs w:val="24"/>
                <w:highlight w:val="none"/>
                <w:shd w:val="clear" w:color="auto" w:fill="FFFFFF"/>
                <w:lang w:val="en-US" w:eastAsia="zh-CN"/>
              </w:rPr>
              <w:t>否则</w:t>
            </w:r>
            <w:r>
              <w:rPr>
                <w:rFonts w:ascii="宋体" w:hAnsi="宋体" w:eastAsia="宋体" w:cs="宋体"/>
                <w:bCs/>
                <w:color w:val="auto"/>
                <w:sz w:val="24"/>
                <w:szCs w:val="24"/>
                <w:highlight w:val="none"/>
                <w:shd w:val="clear" w:color="auto" w:fill="FFFFFF"/>
              </w:rPr>
              <w:t>不得分。</w:t>
            </w:r>
          </w:p>
        </w:tc>
        <w:tc>
          <w:tcPr>
            <w:tcW w:w="1124" w:type="dxa"/>
            <w:noWrap w:val="0"/>
            <w:vAlign w:val="center"/>
          </w:tcPr>
          <w:p w14:paraId="50A89A15">
            <w:pPr>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5</w:t>
            </w:r>
          </w:p>
        </w:tc>
      </w:tr>
      <w:tr w14:paraId="4576F3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881" w:type="dxa"/>
            <w:gridSpan w:val="3"/>
            <w:noWrap w:val="0"/>
            <w:vAlign w:val="center"/>
          </w:tcPr>
          <w:p w14:paraId="33037DFB">
            <w:pPr>
              <w:spacing w:line="360" w:lineRule="auto"/>
              <w:jc w:val="center"/>
              <w:rPr>
                <w:rFonts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3、价格因素（满分</w:t>
            </w:r>
            <w:r>
              <w:rPr>
                <w:rFonts w:hint="eastAsia" w:ascii="宋体" w:hAnsi="宋体" w:cs="宋体"/>
                <w:b/>
                <w:color w:val="auto"/>
                <w:sz w:val="24"/>
                <w:szCs w:val="24"/>
                <w:highlight w:val="none"/>
                <w:lang w:val="en-US" w:eastAsia="zh-CN"/>
              </w:rPr>
              <w:t>20</w:t>
            </w:r>
            <w:r>
              <w:rPr>
                <w:rFonts w:hint="eastAsia" w:ascii="宋体" w:hAnsi="宋体" w:eastAsia="宋体" w:cs="宋体"/>
                <w:b/>
                <w:color w:val="auto"/>
                <w:sz w:val="24"/>
                <w:szCs w:val="24"/>
                <w:highlight w:val="none"/>
              </w:rPr>
              <w:t>分）</w:t>
            </w:r>
          </w:p>
        </w:tc>
      </w:tr>
      <w:tr w14:paraId="19E25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7" w:hRule="atLeast"/>
          <w:jc w:val="center"/>
        </w:trPr>
        <w:tc>
          <w:tcPr>
            <w:tcW w:w="8881" w:type="dxa"/>
            <w:gridSpan w:val="3"/>
            <w:noWrap w:val="0"/>
            <w:vAlign w:val="center"/>
          </w:tcPr>
          <w:p w14:paraId="6EF255C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通过审核的最低投标</w:t>
            </w:r>
            <w:r>
              <w:rPr>
                <w:rFonts w:hint="eastAsia" w:ascii="宋体" w:hAnsi="宋体" w:cs="宋体"/>
                <w:bCs/>
                <w:color w:val="auto"/>
                <w:sz w:val="24"/>
                <w:highlight w:val="none"/>
                <w:lang w:val="en-US" w:eastAsia="zh-CN"/>
              </w:rPr>
              <w:t>价</w:t>
            </w:r>
            <w:r>
              <w:rPr>
                <w:rFonts w:hint="eastAsia" w:ascii="宋体" w:hAnsi="宋体" w:eastAsia="宋体" w:cs="宋体"/>
                <w:bCs/>
                <w:color w:val="auto"/>
                <w:sz w:val="24"/>
                <w:highlight w:val="none"/>
              </w:rPr>
              <w:t>设为基准折扣率，定其价格得分为</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分。按公式：</w:t>
            </w:r>
          </w:p>
          <w:p w14:paraId="7593AA70">
            <w:pPr>
              <w:pStyle w:val="3"/>
              <w:keepNext w:val="0"/>
              <w:keepLines w:val="0"/>
              <w:pageBreakBefore w:val="0"/>
              <w:widowControl w:val="0"/>
              <w:kinsoku/>
              <w:wordWrap/>
              <w:overflowPunct/>
              <w:topLinePunct w:val="0"/>
              <w:autoSpaceDE/>
              <w:autoSpaceDN/>
              <w:bidi w:val="0"/>
              <w:adjustRightInd/>
              <w:snapToGrid w:val="0"/>
              <w:spacing w:beforeLines="0" w:afterLines="0" w:line="360" w:lineRule="auto"/>
              <w:ind w:firstLine="0" w:firstLineChars="0"/>
              <w:textAlignment w:val="auto"/>
              <w:rPr>
                <w:rFonts w:hint="default" w:ascii="宋体" w:hAnsi="宋体" w:eastAsia="宋体" w:cs="宋体"/>
                <w:bCs/>
                <w:color w:val="auto"/>
                <w:sz w:val="24"/>
                <w:highlight w:val="none"/>
                <w:lang w:val="en-US" w:eastAsia="zh-CN"/>
              </w:rPr>
            </w:pPr>
            <w:r>
              <w:rPr>
                <w:rFonts w:hint="eastAsia" w:ascii="宋体" w:hAnsi="宋体" w:eastAsia="宋体" w:cs="宋体"/>
                <w:bCs/>
                <w:color w:val="auto"/>
                <w:sz w:val="24"/>
                <w:highlight w:val="none"/>
              </w:rPr>
              <w:t>价格得分＝</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0</w:t>
            </w:r>
            <w:r>
              <w:rPr>
                <w:rFonts w:hint="eastAsia" w:ascii="宋体" w:hAnsi="宋体" w:eastAsia="宋体" w:cs="宋体"/>
                <w:bCs/>
                <w:color w:val="auto"/>
                <w:sz w:val="24"/>
                <w:highlight w:val="none"/>
              </w:rPr>
              <w:t>×基准折扣率/各个通过审核的投标人的投标</w:t>
            </w:r>
            <w:r>
              <w:rPr>
                <w:rFonts w:hint="eastAsia" w:ascii="宋体" w:hAnsi="宋体" w:cs="宋体"/>
                <w:bCs/>
                <w:color w:val="auto"/>
                <w:sz w:val="24"/>
                <w:highlight w:val="none"/>
                <w:lang w:val="en-US" w:eastAsia="zh-CN"/>
              </w:rPr>
              <w:t>价</w:t>
            </w:r>
            <w:r>
              <w:rPr>
                <w:rFonts w:hint="eastAsia" w:ascii="宋体" w:hAnsi="宋体" w:eastAsia="宋体" w:cs="宋体"/>
                <w:bCs/>
                <w:color w:val="auto"/>
                <w:sz w:val="24"/>
                <w:highlight w:val="none"/>
              </w:rPr>
              <w:t>，由此算出各个通过审核的投标人的价格得分。</w:t>
            </w:r>
          </w:p>
        </w:tc>
      </w:tr>
      <w:tr w14:paraId="785FD5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881" w:type="dxa"/>
            <w:gridSpan w:val="3"/>
            <w:noWrap w:val="0"/>
            <w:vAlign w:val="center"/>
          </w:tcPr>
          <w:p w14:paraId="71E11814">
            <w:pPr>
              <w:spacing w:line="480" w:lineRule="exact"/>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各有效投标人的最后综合得分＝技术因素＋商务因素＋价格因素</w:t>
            </w:r>
          </w:p>
        </w:tc>
      </w:tr>
    </w:tbl>
    <w:p w14:paraId="0EF35D31">
      <w:pPr>
        <w:pStyle w:val="4"/>
        <w:spacing w:line="360" w:lineRule="auto"/>
        <w:rPr>
          <w:rFonts w:hAnsi="宋体"/>
          <w:bCs/>
          <w:color w:val="auto"/>
          <w:sz w:val="24"/>
          <w:highlight w:val="none"/>
        </w:rPr>
      </w:pPr>
      <w:r>
        <w:rPr>
          <w:rFonts w:hint="eastAsia" w:hAnsi="宋体"/>
          <w:bCs/>
          <w:color w:val="auto"/>
          <w:sz w:val="24"/>
          <w:highlight w:val="none"/>
        </w:rPr>
        <w:t>备注：</w:t>
      </w:r>
      <w:r>
        <w:rPr>
          <w:rFonts w:hAnsi="宋体"/>
          <w:bCs/>
          <w:color w:val="auto"/>
          <w:sz w:val="24"/>
          <w:highlight w:val="none"/>
        </w:rPr>
        <w:t>1、对评委技术、商务部分评分结果统计时，将</w:t>
      </w:r>
      <w:r>
        <w:rPr>
          <w:rFonts w:hint="eastAsia" w:hAnsi="宋体"/>
          <w:bCs/>
          <w:color w:val="auto"/>
          <w:sz w:val="24"/>
          <w:highlight w:val="none"/>
        </w:rPr>
        <w:t>进行</w:t>
      </w:r>
      <w:r>
        <w:rPr>
          <w:rFonts w:hAnsi="宋体"/>
          <w:bCs/>
          <w:color w:val="auto"/>
          <w:sz w:val="24"/>
          <w:highlight w:val="none"/>
        </w:rPr>
        <w:t>算术平均计算各有效投标人的技术、商务最终得分。</w:t>
      </w:r>
    </w:p>
    <w:p w14:paraId="25822768">
      <w:pPr>
        <w:pStyle w:val="4"/>
        <w:spacing w:line="360" w:lineRule="auto"/>
        <w:ind w:firstLine="720" w:firstLineChars="300"/>
        <w:rPr>
          <w:rFonts w:hAnsi="宋体"/>
          <w:bCs/>
          <w:color w:val="auto"/>
          <w:sz w:val="24"/>
          <w:highlight w:val="none"/>
        </w:rPr>
      </w:pPr>
      <w:r>
        <w:rPr>
          <w:rFonts w:hAnsi="宋体"/>
          <w:bCs/>
          <w:color w:val="auto"/>
          <w:sz w:val="24"/>
          <w:highlight w:val="none"/>
        </w:rPr>
        <w:t>2、技术商务评分中涉及排名情况的评分由评标委员会根据各投标人投标文件的响应情况进行综合评议得出排名</w:t>
      </w:r>
      <w:r>
        <w:rPr>
          <w:rFonts w:hint="eastAsia" w:hAnsi="宋体"/>
          <w:bCs/>
          <w:color w:val="auto"/>
          <w:sz w:val="24"/>
          <w:highlight w:val="none"/>
        </w:rPr>
        <w:t>。</w:t>
      </w:r>
    </w:p>
    <w:p w14:paraId="7439A913">
      <w:pPr>
        <w:pStyle w:val="8"/>
        <w:keepNext/>
        <w:keepLines/>
        <w:pageBreakBefore/>
        <w:widowControl/>
        <w:kinsoku/>
        <w:wordWrap/>
        <w:overflowPunct/>
        <w:topLinePunct w:val="0"/>
        <w:autoSpaceDE w:val="0"/>
        <w:autoSpaceDN w:val="0"/>
        <w:bidi w:val="0"/>
        <w:adjustRightInd w:val="0"/>
        <w:snapToGrid/>
        <w:spacing w:line="360" w:lineRule="auto"/>
        <w:ind w:firstLine="562" w:firstLineChars="200"/>
        <w:jc w:val="both"/>
        <w:textAlignment w:val="auto"/>
        <w:outlineLvl w:val="1"/>
        <w:rPr>
          <w:rFonts w:hint="eastAsia" w:hAnsi="宋体"/>
          <w:b/>
          <w:color w:val="auto"/>
          <w:sz w:val="28"/>
          <w:szCs w:val="28"/>
          <w:highlight w:val="none"/>
          <w:lang w:val="en-US" w:eastAsia="zh-CN"/>
        </w:rPr>
      </w:pPr>
      <w:r>
        <w:rPr>
          <w:rFonts w:hint="eastAsia" w:hAnsi="宋体"/>
          <w:b/>
          <w:color w:val="auto"/>
          <w:sz w:val="28"/>
          <w:szCs w:val="28"/>
          <w:highlight w:val="none"/>
          <w:lang w:val="en-US" w:eastAsia="zh-CN"/>
        </w:rPr>
        <w:t>二、项目基本要求</w:t>
      </w:r>
    </w:p>
    <w:p w14:paraId="2DB13AC3">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1、交货期：合同签订之日起20个工作日内（含交货、安装并验收合格交付使用）。</w:t>
      </w:r>
    </w:p>
    <w:p w14:paraId="5376CA09">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2、交货地点：买方指定的地点。</w:t>
      </w:r>
    </w:p>
    <w:p w14:paraId="7A3EC5F3">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3、本批招标项目要求投标人承诺自项目验收合格并交付使用之日算起，对项目提供自验收合格之日起至少3年免费质保（清单中另有约定的从其约定，若中标人有更优承诺的，按中标人承诺），保修期间中标人应提供一切免费维修服务(含零配件的更换)。保修期满后,应提供优质优惠维修，所需的费用应包含在投标报价中。</w:t>
      </w:r>
    </w:p>
    <w:p w14:paraId="0A8B100D">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4、若中标人所提供的产品发生毁损或确需更换及维修，中标人须在1小时内响应，8小时内修复或更换完成，否则视为中标人违约，采购人有权按人民币500元/天进行处罚。</w:t>
      </w:r>
    </w:p>
    <w:p w14:paraId="7AE9F12D">
      <w:pPr>
        <w:pStyle w:val="4"/>
        <w:spacing w:line="360" w:lineRule="auto"/>
        <w:ind w:firstLine="720" w:firstLineChars="300"/>
        <w:rPr>
          <w:rFonts w:hint="eastAsia" w:hAnsi="宋体"/>
          <w:bCs/>
          <w:color w:val="auto"/>
          <w:sz w:val="24"/>
          <w:highlight w:val="none"/>
          <w:lang w:val="en-US" w:eastAsia="zh-CN"/>
        </w:rPr>
      </w:pPr>
      <w:r>
        <w:rPr>
          <w:rFonts w:hint="eastAsia" w:hAnsi="宋体"/>
          <w:bCs/>
          <w:color w:val="auto"/>
          <w:sz w:val="24"/>
          <w:highlight w:val="none"/>
          <w:lang w:val="en-US" w:eastAsia="zh-CN"/>
        </w:rPr>
        <w:t>5、中标人提供的产品质量不合格，达不到要求，采购人有权拒收，并拒绝付款。中标人应按技术规范重新提供货物并对因质量问题造成的损失负赔偿责任。</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24B1F"/>
    <w:multiLevelType w:val="multilevel"/>
    <w:tmpl w:val="0BC24B1F"/>
    <w:lvl w:ilvl="0" w:tentative="0">
      <w:start w:val="1"/>
      <w:numFmt w:val="decimal"/>
      <w:suff w:val="nothing"/>
      <w:lvlText w:val="1-%1"/>
      <w:lvlJc w:val="left"/>
      <w:pPr>
        <w:ind w:left="562" w:hanging="420"/>
      </w:pPr>
      <w:rPr>
        <w:rFonts w:hint="eastAsia"/>
      </w:rPr>
    </w:lvl>
    <w:lvl w:ilvl="1" w:tentative="0">
      <w:start w:val="1"/>
      <w:numFmt w:val="lowerLetter"/>
      <w:lvlText w:val="%2)"/>
      <w:lvlJc w:val="left"/>
      <w:pPr>
        <w:ind w:left="698" w:hanging="420"/>
      </w:pPr>
    </w:lvl>
    <w:lvl w:ilvl="2" w:tentative="0">
      <w:start w:val="1"/>
      <w:numFmt w:val="lowerRoman"/>
      <w:lvlText w:val="%3."/>
      <w:lvlJc w:val="right"/>
      <w:pPr>
        <w:ind w:left="1118" w:hanging="420"/>
      </w:pPr>
    </w:lvl>
    <w:lvl w:ilvl="3" w:tentative="0">
      <w:start w:val="1"/>
      <w:numFmt w:val="decimal"/>
      <w:lvlText w:val="%4."/>
      <w:lvlJc w:val="left"/>
      <w:pPr>
        <w:ind w:left="1538" w:hanging="420"/>
      </w:pPr>
    </w:lvl>
    <w:lvl w:ilvl="4" w:tentative="0">
      <w:start w:val="1"/>
      <w:numFmt w:val="lowerLetter"/>
      <w:lvlText w:val="%5)"/>
      <w:lvlJc w:val="left"/>
      <w:pPr>
        <w:ind w:left="1958" w:hanging="420"/>
      </w:pPr>
    </w:lvl>
    <w:lvl w:ilvl="5" w:tentative="0">
      <w:start w:val="1"/>
      <w:numFmt w:val="lowerRoman"/>
      <w:lvlText w:val="%6."/>
      <w:lvlJc w:val="right"/>
      <w:pPr>
        <w:ind w:left="2378" w:hanging="420"/>
      </w:pPr>
    </w:lvl>
    <w:lvl w:ilvl="6" w:tentative="0">
      <w:start w:val="1"/>
      <w:numFmt w:val="decimal"/>
      <w:lvlText w:val="%7."/>
      <w:lvlJc w:val="left"/>
      <w:pPr>
        <w:ind w:left="2798" w:hanging="420"/>
      </w:pPr>
    </w:lvl>
    <w:lvl w:ilvl="7" w:tentative="0">
      <w:start w:val="1"/>
      <w:numFmt w:val="lowerLetter"/>
      <w:lvlText w:val="%8)"/>
      <w:lvlJc w:val="left"/>
      <w:pPr>
        <w:ind w:left="3218" w:hanging="420"/>
      </w:pPr>
    </w:lvl>
    <w:lvl w:ilvl="8" w:tentative="0">
      <w:start w:val="1"/>
      <w:numFmt w:val="lowerRoman"/>
      <w:lvlText w:val="%9."/>
      <w:lvlJc w:val="right"/>
      <w:pPr>
        <w:ind w:left="3638" w:hanging="420"/>
      </w:pPr>
    </w:lvl>
  </w:abstractNum>
  <w:abstractNum w:abstractNumId="1">
    <w:nsid w:val="5EBF1D3D"/>
    <w:multiLevelType w:val="multilevel"/>
    <w:tmpl w:val="5EBF1D3D"/>
    <w:lvl w:ilvl="0" w:tentative="0">
      <w:start w:val="1"/>
      <w:numFmt w:val="decimal"/>
      <w:suff w:val="nothing"/>
      <w:lvlText w:val="2-%1"/>
      <w:lvlJc w:val="left"/>
      <w:pPr>
        <w:ind w:left="420" w:hanging="42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lMjY1YzkyYjQyZDJiZDAzZjlmY2U3ZDZkMzdjNGUifQ=="/>
  </w:docVars>
  <w:rsids>
    <w:rsidRoot w:val="00000000"/>
    <w:rsid w:val="006A1159"/>
    <w:rsid w:val="098D2389"/>
    <w:rsid w:val="0EC5399C"/>
    <w:rsid w:val="19F70FDC"/>
    <w:rsid w:val="24B574D8"/>
    <w:rsid w:val="2B045D15"/>
    <w:rsid w:val="30201103"/>
    <w:rsid w:val="31AC0158"/>
    <w:rsid w:val="37FD3D0C"/>
    <w:rsid w:val="3B0472A2"/>
    <w:rsid w:val="3B903C0F"/>
    <w:rsid w:val="40594423"/>
    <w:rsid w:val="52490498"/>
    <w:rsid w:val="5A663603"/>
    <w:rsid w:val="61D37204"/>
    <w:rsid w:val="67B82782"/>
    <w:rsid w:val="6BC7666A"/>
    <w:rsid w:val="73AC3858"/>
    <w:rsid w:val="74AF580F"/>
    <w:rsid w:val="7ECB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Cs w:val="20"/>
    </w:rPr>
  </w:style>
  <w:style w:type="paragraph" w:styleId="3">
    <w:name w:val="Normal Indent"/>
    <w:basedOn w:val="1"/>
    <w:qFormat/>
    <w:uiPriority w:val="0"/>
    <w:pPr>
      <w:ind w:firstLine="420"/>
    </w:pPr>
    <w:rPr>
      <w:szCs w:val="20"/>
    </w:rPr>
  </w:style>
  <w:style w:type="paragraph" w:styleId="4">
    <w:name w:val="Plain Text"/>
    <w:basedOn w:val="1"/>
    <w:qFormat/>
    <w:uiPriority w:val="0"/>
    <w:rPr>
      <w:rFonts w:ascii="宋体" w:hAnsi="Courier New"/>
      <w:szCs w:val="20"/>
    </w:rPr>
  </w:style>
  <w:style w:type="paragraph" w:styleId="5">
    <w:name w:val="Body Text Indent 2"/>
    <w:basedOn w:val="1"/>
    <w:qFormat/>
    <w:uiPriority w:val="0"/>
    <w:pPr>
      <w:spacing w:after="120" w:line="480" w:lineRule="auto"/>
      <w:ind w:left="420"/>
    </w:pPr>
    <w:rPr>
      <w:szCs w:val="20"/>
    </w:rPr>
  </w:style>
  <w:style w:type="paragraph" w:customStyle="1" w:styleId="8">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
    <w:name w:val="Char Char Char Char Char Char Char"/>
    <w:basedOn w:val="1"/>
    <w:qFormat/>
    <w:uiPriority w:val="0"/>
  </w:style>
  <w:style w:type="character" w:customStyle="1" w:styleId="10">
    <w:name w:val="fontstyle01"/>
    <w:qFormat/>
    <w:uiPriority w:val="0"/>
    <w:rPr>
      <w:rFonts w:ascii="宋体" w:hAnsi="宋体" w:eastAsia="宋体" w:cs="宋体"/>
      <w:color w:val="000000"/>
      <w:sz w:val="24"/>
      <w:szCs w:val="24"/>
    </w:rPr>
  </w:style>
  <w:style w:type="paragraph" w:customStyle="1" w:styleId="11">
    <w:name w:val="列出段落1"/>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2612</Words>
  <Characters>2634</Characters>
  <Lines>0</Lines>
  <Paragraphs>0</Paragraphs>
  <TotalTime>38</TotalTime>
  <ScaleCrop>false</ScaleCrop>
  <LinksUpToDate>false</LinksUpToDate>
  <CharactersWithSpaces>2641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2024-09-09T01:14:00Z</dcterms:created>
  <dc:creator>s</dc:creator>
  <cp:lastModifiedBy>加菲</cp:lastModifiedBy>
  <dcterms:modified xsi:type="dcterms:W3CDTF">2025-04-02T08:35:01Z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8670CBFBB6A54284828247DD39C1DE9F_13</vt:lpwstr>
  </property>
  <property fmtid="{D5CDD505-2E9C-101B-9397-08002B2CF9AE}" pid="4" name="KSOTemplateDocerSaveRecord">
    <vt:lpwstr>eyJoZGlkIjoiZDhlMjY1YzkyYjQyZDJiZDAzZjlmY2U3ZDZkMzdjNGUiLCJ1c2VySWQiOiIyMzQ5NDAzNjEifQ==</vt:lpwstr>
  </property>
</Properties>
</file>