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56037">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Ansi="宋体"/>
          <w:b/>
          <w:color w:val="auto"/>
          <w:sz w:val="28"/>
          <w:szCs w:val="28"/>
          <w:highlight w:val="none"/>
        </w:rPr>
      </w:pPr>
      <w:bookmarkStart w:id="0" w:name="_Toc11684"/>
      <w:bookmarkStart w:id="1" w:name="_Toc102037652"/>
      <w:bookmarkStart w:id="2" w:name="_Toc17289"/>
      <w:bookmarkStart w:id="3" w:name="_Toc14745"/>
      <w:bookmarkStart w:id="4" w:name="_Toc3887"/>
      <w:r>
        <w:rPr>
          <w:rFonts w:hint="eastAsia" w:hAnsi="宋体"/>
          <w:b/>
          <w:color w:val="auto"/>
          <w:sz w:val="28"/>
          <w:szCs w:val="28"/>
          <w:highlight w:val="none"/>
          <w:lang w:val="en-US" w:eastAsia="zh-CN"/>
        </w:rPr>
        <w:t>一、</w:t>
      </w:r>
      <w:r>
        <w:rPr>
          <w:rFonts w:hint="eastAsia" w:hAnsi="宋体"/>
          <w:b/>
          <w:color w:val="auto"/>
          <w:sz w:val="28"/>
          <w:szCs w:val="28"/>
          <w:highlight w:val="none"/>
        </w:rPr>
        <w:t>投标人须知：评标方法、评标标准、定标原则</w:t>
      </w:r>
      <w:bookmarkEnd w:id="0"/>
      <w:bookmarkEnd w:id="1"/>
      <w:bookmarkEnd w:id="2"/>
      <w:bookmarkEnd w:id="3"/>
      <w:bookmarkEnd w:id="4"/>
    </w:p>
    <w:tbl>
      <w:tblPr>
        <w:tblStyle w:val="6"/>
        <w:tblW w:w="0" w:type="auto"/>
        <w:jc w:val="center"/>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1438D8A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595C61AB">
            <w:pPr>
              <w:pStyle w:val="3"/>
              <w:snapToGrid w:val="0"/>
              <w:spacing w:line="360" w:lineRule="auto"/>
              <w:ind w:firstLine="0"/>
              <w:rPr>
                <w:rFonts w:ascii="宋体" w:hAnsi="宋体"/>
                <w:color w:val="auto"/>
                <w:sz w:val="22"/>
                <w:szCs w:val="22"/>
                <w:highlight w:val="none"/>
              </w:rPr>
            </w:pPr>
            <w:bookmarkStart w:id="5" w:name="_Toc1105"/>
            <w:bookmarkStart w:id="6" w:name="_Toc29099"/>
            <w:bookmarkStart w:id="7" w:name="_Toc31483"/>
            <w:bookmarkStart w:id="8" w:name="_Toc30082"/>
            <w:bookmarkStart w:id="9" w:name="_Toc1533"/>
            <w:bookmarkStart w:id="10" w:name="_Toc16023"/>
            <w:bookmarkStart w:id="11" w:name="_Toc25813"/>
            <w:bookmarkStart w:id="12" w:name="_Toc14161"/>
            <w:bookmarkStart w:id="13" w:name="_Toc514678747"/>
            <w:bookmarkStart w:id="14" w:name="_Toc16980"/>
            <w:bookmarkStart w:id="15" w:name="_Toc7381"/>
            <w:bookmarkStart w:id="16" w:name="_Toc13424"/>
            <w:bookmarkStart w:id="17" w:name="_Toc24212"/>
            <w:r>
              <w:rPr>
                <w:rFonts w:hint="eastAsia" w:ascii="宋体" w:hAnsi="宋体"/>
                <w:color w:val="auto"/>
                <w:sz w:val="22"/>
                <w:szCs w:val="22"/>
                <w:highlight w:val="none"/>
              </w:rPr>
              <w:t>一、评审程序：</w:t>
            </w:r>
          </w:p>
          <w:p w14:paraId="1CDF283B">
            <w:pPr>
              <w:pStyle w:val="3"/>
              <w:tabs>
                <w:tab w:val="left" w:pos="480"/>
              </w:tabs>
              <w:snapToGrid w:val="0"/>
              <w:spacing w:line="360" w:lineRule="auto"/>
              <w:ind w:firstLine="440" w:firstLineChars="200"/>
              <w:rPr>
                <w:rFonts w:ascii="宋体" w:hAnsi="宋体"/>
                <w:b/>
                <w:bCs/>
                <w:color w:val="auto"/>
                <w:sz w:val="22"/>
                <w:szCs w:val="22"/>
                <w:highlight w:val="none"/>
              </w:rPr>
            </w:pPr>
            <w:r>
              <w:rPr>
                <w:rFonts w:ascii="宋体" w:hAnsi="宋体"/>
                <w:color w:val="auto"/>
                <w:sz w:val="22"/>
                <w:szCs w:val="22"/>
                <w:highlight w:val="none"/>
              </w:rPr>
              <w:t>首先</w:t>
            </w:r>
            <w:r>
              <w:rPr>
                <w:rFonts w:hint="eastAsia" w:ascii="宋体" w:hAnsi="宋体"/>
                <w:color w:val="auto"/>
                <w:sz w:val="22"/>
                <w:szCs w:val="22"/>
                <w:highlight w:val="none"/>
              </w:rPr>
              <w:t>由采购人或招标代理机构</w:t>
            </w:r>
            <w:r>
              <w:rPr>
                <w:rFonts w:ascii="宋体" w:hAnsi="宋体"/>
                <w:color w:val="auto"/>
                <w:sz w:val="22"/>
                <w:szCs w:val="22"/>
                <w:highlight w:val="none"/>
              </w:rPr>
              <w:t>对各</w:t>
            </w:r>
            <w:r>
              <w:rPr>
                <w:rFonts w:hint="eastAsia" w:ascii="宋体" w:hAnsi="宋体"/>
                <w:color w:val="auto"/>
                <w:sz w:val="22"/>
                <w:szCs w:val="22"/>
                <w:highlight w:val="none"/>
              </w:rPr>
              <w:t>投标人</w:t>
            </w:r>
            <w:r>
              <w:rPr>
                <w:rFonts w:ascii="宋体" w:hAnsi="宋体"/>
                <w:color w:val="auto"/>
                <w:sz w:val="22"/>
                <w:szCs w:val="22"/>
                <w:highlight w:val="none"/>
              </w:rPr>
              <w:t>的资格</w:t>
            </w:r>
            <w:r>
              <w:rPr>
                <w:rFonts w:hint="eastAsia" w:ascii="宋体" w:hAnsi="宋体"/>
                <w:color w:val="auto"/>
                <w:sz w:val="22"/>
                <w:szCs w:val="22"/>
                <w:highlight w:val="none"/>
              </w:rPr>
              <w:t>进行审查，经资格审查后合格投标人满足三家或以上的方可进入评标程序。</w:t>
            </w:r>
          </w:p>
          <w:p w14:paraId="1BCF59D0">
            <w:pPr>
              <w:pStyle w:val="3"/>
              <w:tabs>
                <w:tab w:val="left" w:pos="480"/>
              </w:tabs>
              <w:snapToGrid w:val="0"/>
              <w:spacing w:line="360" w:lineRule="auto"/>
              <w:ind w:firstLine="440" w:firstLineChars="200"/>
              <w:rPr>
                <w:rFonts w:ascii="宋体" w:hAnsi="宋体"/>
                <w:b/>
                <w:bCs/>
                <w:color w:val="auto"/>
                <w:sz w:val="22"/>
                <w:szCs w:val="22"/>
                <w:highlight w:val="none"/>
              </w:rPr>
            </w:pPr>
            <w:r>
              <w:rPr>
                <w:rFonts w:hint="eastAsia" w:ascii="宋体" w:hAnsi="宋体"/>
                <w:color w:val="auto"/>
                <w:sz w:val="22"/>
                <w:szCs w:val="22"/>
                <w:highlight w:val="none"/>
              </w:rPr>
              <w:t>进入评标后，首先由评标委员会对资格符合的投标人的投标文件进行符合性审查</w:t>
            </w:r>
            <w:r>
              <w:rPr>
                <w:rFonts w:ascii="宋体" w:hAnsi="宋体"/>
                <w:color w:val="auto"/>
                <w:sz w:val="22"/>
                <w:szCs w:val="22"/>
                <w:highlight w:val="none"/>
              </w:rPr>
              <w:t>，只有</w:t>
            </w:r>
            <w:r>
              <w:rPr>
                <w:rFonts w:hint="eastAsia" w:ascii="宋体" w:hAnsi="宋体"/>
                <w:color w:val="auto"/>
                <w:sz w:val="22"/>
                <w:szCs w:val="22"/>
                <w:highlight w:val="none"/>
              </w:rPr>
              <w:t>符合性审查满足招标文件实质性要求</w:t>
            </w:r>
            <w:r>
              <w:rPr>
                <w:rFonts w:ascii="宋体" w:hAnsi="宋体"/>
                <w:color w:val="auto"/>
                <w:sz w:val="22"/>
                <w:szCs w:val="22"/>
                <w:highlight w:val="none"/>
              </w:rPr>
              <w:t>的投标文件才能进入综合评分。</w:t>
            </w:r>
          </w:p>
        </w:tc>
      </w:tr>
      <w:tr w14:paraId="6CEBED7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28F39637">
            <w:pPr>
              <w:pStyle w:val="3"/>
              <w:snapToGrid w:val="0"/>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二、评标方法：</w:t>
            </w:r>
          </w:p>
          <w:p w14:paraId="1F081457">
            <w:pPr>
              <w:pStyle w:val="3"/>
              <w:snapToGrid w:val="0"/>
              <w:spacing w:line="360" w:lineRule="auto"/>
              <w:ind w:left="480"/>
              <w:rPr>
                <w:rFonts w:ascii="宋体" w:hAnsi="宋体"/>
                <w:color w:val="auto"/>
                <w:sz w:val="22"/>
                <w:szCs w:val="22"/>
                <w:highlight w:val="none"/>
              </w:rPr>
            </w:pPr>
            <w:r>
              <w:rPr>
                <w:rFonts w:ascii="宋体" w:hAnsi="宋体"/>
                <w:color w:val="auto"/>
                <w:sz w:val="22"/>
                <w:szCs w:val="22"/>
                <w:highlight w:val="none"/>
              </w:rPr>
              <w:sym w:font="Wingdings" w:char="F0FE"/>
            </w:r>
            <w:r>
              <w:rPr>
                <w:rFonts w:ascii="宋体" w:hAnsi="宋体"/>
                <w:color w:val="auto"/>
                <w:sz w:val="22"/>
                <w:szCs w:val="22"/>
                <w:highlight w:val="none"/>
              </w:rPr>
              <w:t xml:space="preserve"> 综合评分法  □ 最低评标价法  </w:t>
            </w:r>
          </w:p>
        </w:tc>
      </w:tr>
      <w:tr w14:paraId="1238C2C2">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single" w:color="auto" w:sz="6" w:space="0"/>
              <w:right w:val="thinThickSmallGap" w:color="auto" w:sz="18" w:space="0"/>
            </w:tcBorders>
            <w:noWrap w:val="0"/>
            <w:vAlign w:val="top"/>
          </w:tcPr>
          <w:p w14:paraId="17D29CED">
            <w:pPr>
              <w:pStyle w:val="3"/>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三、评标标准：</w:t>
            </w:r>
          </w:p>
          <w:p w14:paraId="215EDB67">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（一）具体的评标标准、权重。</w:t>
            </w:r>
          </w:p>
          <w:p w14:paraId="1B462431">
            <w:pPr>
              <w:pStyle w:val="3"/>
              <w:spacing w:line="360" w:lineRule="auto"/>
              <w:ind w:firstLine="660" w:firstLineChars="300"/>
              <w:rPr>
                <w:rFonts w:ascii="宋体" w:hAnsi="宋体"/>
                <w:color w:val="auto"/>
                <w:sz w:val="22"/>
                <w:szCs w:val="22"/>
                <w:highlight w:val="none"/>
              </w:rPr>
            </w:pPr>
            <w:r>
              <w:rPr>
                <w:rFonts w:hint="eastAsia" w:ascii="宋体" w:hAnsi="宋体"/>
                <w:color w:val="auto"/>
                <w:sz w:val="22"/>
                <w:szCs w:val="22"/>
                <w:highlight w:val="none"/>
              </w:rPr>
              <w:t>详见附件</w:t>
            </w:r>
          </w:p>
          <w:p w14:paraId="296CF87E">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（二）推荐中标候选供应商名单。</w:t>
            </w:r>
          </w:p>
          <w:p w14:paraId="4B1F22EE">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1、中标候选供应商数量：</w:t>
            </w:r>
            <w:r>
              <w:rPr>
                <w:rFonts w:hint="eastAsia" w:ascii="宋体" w:hAnsi="宋体"/>
                <w:color w:val="auto"/>
                <w:sz w:val="22"/>
                <w:szCs w:val="22"/>
                <w:highlight w:val="none"/>
                <w:u w:val="single"/>
              </w:rPr>
              <w:t>3</w:t>
            </w:r>
            <w:r>
              <w:rPr>
                <w:rFonts w:hint="eastAsia" w:ascii="宋体" w:hAnsi="宋体"/>
                <w:color w:val="auto"/>
                <w:sz w:val="22"/>
                <w:szCs w:val="22"/>
                <w:highlight w:val="none"/>
              </w:rPr>
              <w:t>个。</w:t>
            </w:r>
          </w:p>
          <w:p w14:paraId="3E1B838B">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2、中标候选供应商排列顺序。经投标文件初审、澄清有关问题、比较与评价评标程序后，按以下办法推荐中标候选供应商名单的排列顺序（请按采购项目的评标方法从以下</w:t>
            </w:r>
            <w:r>
              <w:rPr>
                <w:rFonts w:hint="eastAsia" w:ascii="宋体" w:hAnsi="宋体"/>
                <w:color w:val="auto"/>
                <w:sz w:val="22"/>
                <w:szCs w:val="22"/>
                <w:highlight w:val="none"/>
              </w:rPr>
              <w:t>两</w:t>
            </w:r>
            <w:r>
              <w:rPr>
                <w:rFonts w:ascii="宋体" w:hAnsi="宋体"/>
                <w:color w:val="auto"/>
                <w:sz w:val="22"/>
                <w:szCs w:val="22"/>
                <w:highlight w:val="none"/>
              </w:rPr>
              <w:t>项中选择一项打“√”）：</w:t>
            </w:r>
          </w:p>
          <w:p w14:paraId="4FA44C81">
            <w:pPr>
              <w:pStyle w:val="3"/>
              <w:spacing w:line="360" w:lineRule="auto"/>
              <w:rPr>
                <w:rFonts w:ascii="宋体" w:hAnsi="宋体"/>
                <w:color w:val="auto"/>
                <w:sz w:val="22"/>
                <w:szCs w:val="22"/>
                <w:highlight w:val="none"/>
              </w:rPr>
            </w:pPr>
            <w:r>
              <w:rPr>
                <w:rFonts w:ascii="宋体" w:hAnsi="宋体"/>
                <w:color w:val="auto"/>
                <w:sz w:val="22"/>
                <w:szCs w:val="22"/>
                <w:highlight w:val="none"/>
              </w:rPr>
              <w:t>□采用最低评标价法的，按投标报价由低到高顺序排列。投标报价相同的，按技术指标优劣顺序排列。</w:t>
            </w:r>
          </w:p>
          <w:p w14:paraId="35824773">
            <w:pPr>
              <w:pStyle w:val="3"/>
              <w:spacing w:line="360" w:lineRule="auto"/>
              <w:rPr>
                <w:rFonts w:ascii="宋体" w:hAnsi="宋体"/>
                <w:color w:val="auto"/>
                <w:sz w:val="22"/>
                <w:szCs w:val="22"/>
                <w:highlight w:val="none"/>
              </w:rPr>
            </w:pPr>
            <w:r>
              <w:rPr>
                <w:rFonts w:ascii="宋体" w:hAnsi="宋体"/>
                <w:b/>
                <w:color w:val="auto"/>
                <w:sz w:val="22"/>
                <w:szCs w:val="22"/>
                <w:highlight w:val="none"/>
              </w:rPr>
              <w:fldChar w:fldCharType="begin"/>
            </w:r>
            <w:r>
              <w:rPr>
                <w:rFonts w:ascii="宋体" w:hAnsi="宋体"/>
                <w:b/>
                <w:color w:val="auto"/>
                <w:sz w:val="22"/>
                <w:szCs w:val="22"/>
                <w:highlight w:val="none"/>
              </w:rPr>
              <w:instrText xml:space="preserve"> </w:instrText>
            </w:r>
            <w:r>
              <w:rPr>
                <w:rFonts w:hint="eastAsia" w:ascii="宋体" w:hAnsi="宋体"/>
                <w:b/>
                <w:color w:val="auto"/>
                <w:sz w:val="22"/>
                <w:szCs w:val="22"/>
                <w:highlight w:val="none"/>
              </w:rPr>
              <w:instrText xml:space="preserve">eq \o\ac(□,√)</w:instrText>
            </w:r>
            <w:r>
              <w:rPr>
                <w:rFonts w:ascii="宋体" w:hAnsi="宋体"/>
                <w:b/>
                <w:color w:val="auto"/>
                <w:sz w:val="22"/>
                <w:szCs w:val="22"/>
                <w:highlight w:val="none"/>
              </w:rPr>
              <w:fldChar w:fldCharType="end"/>
            </w:r>
            <w:r>
              <w:rPr>
                <w:rFonts w:ascii="宋体" w:hAnsi="宋体"/>
                <w:color w:val="auto"/>
                <w:sz w:val="22"/>
                <w:szCs w:val="22"/>
                <w:highlight w:val="none"/>
              </w:rPr>
              <w:t>采用综合评分法的，按评审后得分由高到低顺序排列。得分相同的，按投标报价由低到高顺序排列。得分且投标报价相同的，按技术指标优劣顺序排列。</w:t>
            </w:r>
          </w:p>
          <w:p w14:paraId="537122FC">
            <w:pPr>
              <w:pStyle w:val="5"/>
              <w:spacing w:after="0" w:line="360" w:lineRule="auto"/>
              <w:ind w:left="0" w:firstLine="330" w:firstLineChars="150"/>
              <w:rPr>
                <w:rFonts w:hint="eastAsia" w:ascii="宋体" w:hAnsi="宋体" w:cs="Helvetica"/>
                <w:color w:val="auto"/>
                <w:sz w:val="22"/>
                <w:szCs w:val="22"/>
                <w:highlight w:val="none"/>
              </w:rPr>
            </w:pPr>
            <w:r>
              <w:rPr>
                <w:rFonts w:hint="eastAsia" w:ascii="宋体" w:hAnsi="宋体"/>
                <w:color w:val="auto"/>
                <w:sz w:val="22"/>
                <w:szCs w:val="22"/>
                <w:highlight w:val="none"/>
              </w:rPr>
              <w:t>3</w:t>
            </w:r>
            <w:r>
              <w:rPr>
                <w:rFonts w:hint="eastAsia" w:ascii="宋体" w:hAnsi="宋体" w:cs="Helvetica"/>
                <w:color w:val="auto"/>
                <w:sz w:val="22"/>
                <w:szCs w:val="22"/>
                <w:highlight w:val="none"/>
              </w:rPr>
              <w:t>、关于同一品牌产品投标的相关规定</w:t>
            </w:r>
          </w:p>
          <w:p w14:paraId="10F8E267">
            <w:pPr>
              <w:spacing w:line="360" w:lineRule="auto"/>
              <w:ind w:firstLine="330" w:firstLineChars="150"/>
              <w:rPr>
                <w:rFonts w:hint="eastAsia" w:ascii="宋体" w:hAnsi="宋体" w:cs="Helvetica"/>
                <w:color w:val="auto"/>
                <w:sz w:val="22"/>
                <w:highlight w:val="none"/>
              </w:rPr>
            </w:pPr>
            <w:r>
              <w:rPr>
                <w:rFonts w:hint="eastAsia" w:ascii="宋体" w:hAnsi="宋体" w:cs="Helvetica"/>
                <w:color w:val="auto"/>
                <w:sz w:val="22"/>
                <w:highlight w:val="none"/>
              </w:rPr>
              <w:t>如果有多家投标人以同一品牌的产品参加投标，只能视为一家。</w:t>
            </w:r>
          </w:p>
          <w:p w14:paraId="55021877">
            <w:pPr>
              <w:spacing w:line="360" w:lineRule="auto"/>
              <w:ind w:firstLine="330" w:firstLineChars="150"/>
              <w:rPr>
                <w:rFonts w:ascii="宋体" w:hAnsi="宋体" w:cs="Helvetica"/>
                <w:color w:val="auto"/>
                <w:sz w:val="22"/>
                <w:highlight w:val="none"/>
              </w:rPr>
            </w:pPr>
            <w:r>
              <w:rPr>
                <w:rFonts w:hint="eastAsia" w:ascii="宋体" w:hAnsi="宋体" w:cs="Helvetica"/>
                <w:color w:val="auto"/>
                <w:sz w:val="22"/>
                <w:highlight w:val="none"/>
              </w:rPr>
              <w:t>采用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"http://lilun.caigou2003.com/recijiedu/2365668.html" \t "_blank" </w:instrText>
            </w:r>
            <w:r>
              <w:rPr>
                <w:rFonts w:ascii="宋体" w:hAnsi="宋体"/>
                <w:color w:val="auto"/>
                <w:sz w:val="22"/>
                <w:highlight w:val="none"/>
              </w:rPr>
              <w:fldChar w:fldCharType="separate"/>
            </w:r>
            <w:r>
              <w:rPr>
                <w:rFonts w:hint="eastAsia" w:ascii="宋体" w:hAnsi="宋体" w:cs="Helvetica"/>
                <w:color w:val="auto"/>
                <w:sz w:val="22"/>
                <w:highlight w:val="none"/>
              </w:rPr>
              <w:t>最低评标价法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的采购项目，提供相同品牌产品的不同投标人参加同一合同项下投标的，以其中通过资格审查、符合性审查且报价最低的参加评标；报价相同的，由招标人委托</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"http://lilun.caigou2003.com/recijiedu/2539165.html" \t "_blank" </w:instrText>
            </w:r>
            <w:r>
              <w:rPr>
                <w:rFonts w:ascii="宋体" w:hAnsi="宋体"/>
                <w:color w:val="auto"/>
                <w:sz w:val="22"/>
                <w:highlight w:val="none"/>
              </w:rPr>
              <w:fldChar w:fldCharType="separate"/>
            </w:r>
            <w:r>
              <w:rPr>
                <w:rFonts w:hint="eastAsia" w:ascii="宋体" w:hAnsi="宋体" w:cs="Helvetica"/>
                <w:color w:val="auto"/>
                <w:sz w:val="22"/>
                <w:highlight w:val="none"/>
              </w:rPr>
              <w:t>评标委员会</w:t>
            </w:r>
            <w:r>
              <w:rPr>
                <w:rFonts w:hint="eastAsia" w:ascii="宋体" w:hAnsi="宋体" w:cs="Helvetica"/>
                <w:color w:val="auto"/>
                <w:sz w:val="22"/>
                <w:highlight w:val="none"/>
              </w:rPr>
              <w:fldChar w:fldCharType="end"/>
            </w:r>
            <w:r>
              <w:rPr>
                <w:rFonts w:hint="eastAsia" w:ascii="宋体" w:hAnsi="宋体" w:cs="Helvetica"/>
                <w:color w:val="auto"/>
                <w:sz w:val="22"/>
                <w:highlight w:val="none"/>
              </w:rPr>
              <w:t>按照招标文件规定的方式确定一个参加评标的投标人，招标文件未规定的采取随机抽取方式确定，其他投标无效。</w:t>
            </w:r>
          </w:p>
          <w:p w14:paraId="4AA0A047">
            <w:pPr>
              <w:spacing w:line="360" w:lineRule="auto"/>
              <w:ind w:firstLine="330" w:firstLineChars="150"/>
              <w:rPr>
                <w:rFonts w:ascii="宋体" w:hAnsi="宋体"/>
                <w:color w:val="auto"/>
                <w:sz w:val="22"/>
                <w:highlight w:val="none"/>
              </w:rPr>
            </w:pPr>
            <w:r>
              <w:rPr>
                <w:rFonts w:hint="eastAsia" w:ascii="宋体" w:hAnsi="宋体" w:cs="Helvetica"/>
                <w:color w:val="auto"/>
                <w:sz w:val="22"/>
                <w:highlight w:val="none"/>
              </w:rPr>
              <w:t>使用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"http://lilun.caigou2003.com/recijiedu/2365667.html" \t "_blank" </w:instrText>
            </w:r>
            <w:r>
              <w:rPr>
                <w:rFonts w:ascii="宋体" w:hAnsi="宋体"/>
                <w:color w:val="auto"/>
                <w:sz w:val="22"/>
                <w:highlight w:val="none"/>
              </w:rPr>
              <w:fldChar w:fldCharType="separate"/>
            </w:r>
            <w:r>
              <w:rPr>
                <w:rFonts w:hint="eastAsia" w:ascii="宋体" w:hAnsi="宋体" w:cs="Helvetica"/>
                <w:color w:val="auto"/>
                <w:sz w:val="22"/>
                <w:highlight w:val="none"/>
              </w:rPr>
              <w:t>综合评分法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且通过资格审查、符合性审查的不同投标人参加同一合同项下投标的，按一家投标人计算，评审后得分最高的同品牌投标人获得中标人推荐资格；评审得分相同的，由招标人委托评标委员会按照招标文件规定的方式确定一个投标人获得中标人推荐资格，招标文件未规定的采取随机抽取方式确定，其他同品牌投标人不作为中标候选人。</w:t>
            </w:r>
          </w:p>
        </w:tc>
      </w:tr>
      <w:tr w14:paraId="18925F5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thinThickSmallGap" w:color="auto" w:sz="18" w:space="0"/>
              <w:right w:val="thinThickSmallGap" w:color="auto" w:sz="18" w:space="0"/>
            </w:tcBorders>
            <w:noWrap w:val="0"/>
            <w:vAlign w:val="top"/>
          </w:tcPr>
          <w:p w14:paraId="10421642">
            <w:pPr>
              <w:pStyle w:val="3"/>
              <w:tabs>
                <w:tab w:val="left" w:pos="1260"/>
              </w:tabs>
              <w:adjustRightInd w:val="0"/>
              <w:snapToGrid w:val="0"/>
              <w:spacing w:before="50" w:line="360" w:lineRule="auto"/>
              <w:ind w:hanging="420"/>
              <w:outlineLvl w:val="2"/>
              <w:rPr>
                <w:rFonts w:ascii="宋体" w:hAnsi="宋体"/>
                <w:color w:val="auto"/>
                <w:sz w:val="22"/>
                <w:szCs w:val="22"/>
                <w:highlight w:val="none"/>
              </w:rPr>
            </w:pPr>
            <w:r>
              <w:rPr>
                <w:rFonts w:hint="eastAsia" w:ascii="宋体" w:hAnsi="宋体"/>
                <w:color w:val="auto"/>
                <w:sz w:val="22"/>
                <w:szCs w:val="22"/>
                <w:highlight w:val="none"/>
              </w:rPr>
              <w:t>三、四、定标原则：</w:t>
            </w:r>
            <w:r>
              <w:rPr>
                <w:rFonts w:hint="eastAsia" w:ascii="宋体" w:hAnsi="宋体"/>
                <w:color w:val="auto"/>
                <w:sz w:val="22"/>
                <w:szCs w:val="22"/>
                <w:highlight w:val="none"/>
                <w:lang w:val="en-US" w:eastAsia="zh-CN"/>
              </w:rPr>
              <w:t>（确定中标供应商数量：1个）</w:t>
            </w:r>
          </w:p>
          <w:p w14:paraId="4E2A5C7B">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1</w:t>
            </w:r>
            <w:r>
              <w:rPr>
                <w:rFonts w:ascii="宋体" w:hAnsi="宋体"/>
                <w:color w:val="auto"/>
                <w:sz w:val="22"/>
                <w:highlight w:val="none"/>
              </w:rPr>
              <w:t>、</w:t>
            </w:r>
            <w:r>
              <w:rPr>
                <w:rFonts w:hint="eastAsia" w:ascii="宋体" w:hAnsi="宋体"/>
                <w:color w:val="auto"/>
                <w:sz w:val="22"/>
                <w:highlight w:val="none"/>
                <w:lang w:val="en-US" w:eastAsia="zh-CN"/>
              </w:rPr>
              <w:t>采购人</w:t>
            </w:r>
            <w:r>
              <w:rPr>
                <w:rFonts w:ascii="宋体" w:hAnsi="宋体"/>
                <w:color w:val="auto"/>
                <w:sz w:val="22"/>
                <w:highlight w:val="none"/>
              </w:rPr>
              <w:t>在中标人确定</w:t>
            </w:r>
            <w:r>
              <w:rPr>
                <w:rFonts w:hint="eastAsia" w:ascii="宋体" w:hAnsi="宋体"/>
                <w:color w:val="auto"/>
                <w:sz w:val="22"/>
                <w:highlight w:val="none"/>
              </w:rPr>
              <w:t>之日起</w:t>
            </w:r>
            <w:r>
              <w:rPr>
                <w:rFonts w:ascii="宋体" w:hAnsi="宋体"/>
                <w:color w:val="auto"/>
                <w:sz w:val="22"/>
                <w:highlight w:val="none"/>
              </w:rPr>
              <w:t>2</w:t>
            </w:r>
            <w:r>
              <w:rPr>
                <w:rFonts w:hint="eastAsia" w:ascii="宋体" w:hAnsi="宋体"/>
                <w:color w:val="auto"/>
                <w:sz w:val="22"/>
                <w:highlight w:val="none"/>
              </w:rPr>
              <w:t>个工作日内，在指定相关媒体上公告中标结果（</w:t>
            </w:r>
            <w:r>
              <w:rPr>
                <w:rFonts w:ascii="宋体" w:hAnsi="宋体"/>
                <w:color w:val="auto"/>
                <w:sz w:val="22"/>
                <w:highlight w:val="none"/>
              </w:rPr>
              <w:t>中标公告期限为</w:t>
            </w:r>
            <w:r>
              <w:rPr>
                <w:rFonts w:hint="eastAsia" w:ascii="宋体" w:hAnsi="宋体"/>
                <w:color w:val="auto"/>
                <w:sz w:val="22"/>
                <w:highlight w:val="none"/>
                <w:lang w:val="en-US" w:eastAsia="zh-CN"/>
              </w:rPr>
              <w:t>3</w:t>
            </w:r>
            <w:r>
              <w:rPr>
                <w:rFonts w:ascii="宋体" w:hAnsi="宋体"/>
                <w:color w:val="auto"/>
                <w:sz w:val="22"/>
                <w:highlight w:val="none"/>
              </w:rPr>
              <w:t>个工作日</w:t>
            </w:r>
            <w:r>
              <w:rPr>
                <w:rFonts w:hint="eastAsia" w:ascii="宋体" w:hAnsi="宋体"/>
                <w:color w:val="auto"/>
                <w:sz w:val="22"/>
                <w:highlight w:val="none"/>
              </w:rPr>
              <w:t>）及招标文件，请投标人关注。</w:t>
            </w:r>
          </w:p>
          <w:p w14:paraId="50504208">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2</w:t>
            </w:r>
            <w:r>
              <w:rPr>
                <w:rFonts w:ascii="宋体" w:hAnsi="宋体"/>
                <w:color w:val="auto"/>
                <w:sz w:val="22"/>
                <w:highlight w:val="none"/>
              </w:rPr>
              <w:t>、中标通知书</w:t>
            </w:r>
            <w:r>
              <w:rPr>
                <w:rFonts w:hint="eastAsia" w:ascii="宋体" w:hAnsi="宋体"/>
                <w:color w:val="auto"/>
                <w:sz w:val="22"/>
                <w:highlight w:val="none"/>
              </w:rPr>
              <w:t>发出后，中标人拒绝与采购人签订合同的，采购人可以按照评审报告推荐的中标候选人名单排序，确定下一候选人为中标人，也可以重新开展政府采购活动。</w:t>
            </w:r>
          </w:p>
        </w:tc>
      </w:tr>
      <w:bookmarkEnd w:id="5"/>
      <w:bookmarkEnd w:id="6"/>
      <w:bookmarkEnd w:id="7"/>
      <w:bookmarkEnd w:id="8"/>
      <w:bookmarkEnd w:id="9"/>
      <w:bookmarkEnd w:id="10"/>
      <w:bookmarkEnd w:id="11"/>
      <w:bookmarkEnd w:id="12"/>
      <w:bookmarkEnd w:id="13"/>
      <w:bookmarkEnd w:id="14"/>
      <w:bookmarkEnd w:id="15"/>
      <w:bookmarkEnd w:id="16"/>
      <w:bookmarkEnd w:id="17"/>
    </w:tbl>
    <w:p w14:paraId="1C851B74">
      <w:pPr>
        <w:pStyle w:val="4"/>
        <w:spacing w:line="360" w:lineRule="auto"/>
        <w:ind w:firstLine="720" w:firstLineChars="300"/>
        <w:rPr>
          <w:rFonts w:hAnsi="宋体"/>
          <w:color w:val="auto"/>
          <w:sz w:val="24"/>
          <w:highlight w:val="none"/>
        </w:rPr>
      </w:pPr>
    </w:p>
    <w:p w14:paraId="6A3265BC">
      <w:pPr>
        <w:tabs>
          <w:tab w:val="left" w:pos="-1080"/>
          <w:tab w:val="left" w:pos="180"/>
          <w:tab w:val="left" w:pos="1080"/>
        </w:tabs>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附件：评标标准、权重</w:t>
      </w:r>
    </w:p>
    <w:tbl>
      <w:tblPr>
        <w:tblStyle w:val="6"/>
        <w:tblW w:w="88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985"/>
        <w:gridCol w:w="1124"/>
      </w:tblGrid>
      <w:tr w14:paraId="7AA8D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772" w:type="dxa"/>
            <w:noWrap w:val="0"/>
            <w:vAlign w:val="center"/>
          </w:tcPr>
          <w:p w14:paraId="21EBB2DE">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985" w:type="dxa"/>
            <w:noWrap w:val="0"/>
            <w:vAlign w:val="center"/>
          </w:tcPr>
          <w:p w14:paraId="4F1F7E85">
            <w:pPr>
              <w:tabs>
                <w:tab w:val="left" w:pos="900"/>
                <w:tab w:val="left" w:pos="1080"/>
              </w:tabs>
              <w:spacing w:line="480" w:lineRule="exact"/>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评分界定</w:t>
            </w:r>
          </w:p>
        </w:tc>
        <w:tc>
          <w:tcPr>
            <w:tcW w:w="1124" w:type="dxa"/>
            <w:noWrap w:val="0"/>
            <w:vAlign w:val="center"/>
          </w:tcPr>
          <w:p w14:paraId="3198570C">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满分值</w:t>
            </w:r>
          </w:p>
        </w:tc>
      </w:tr>
      <w:tr w14:paraId="1112E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881" w:type="dxa"/>
            <w:gridSpan w:val="3"/>
            <w:noWrap w:val="0"/>
            <w:vAlign w:val="center"/>
          </w:tcPr>
          <w:p w14:paraId="3A4D0D72">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1、技术因素（满分</w:t>
            </w:r>
            <w:r>
              <w:rPr>
                <w:rFonts w:hint="eastAsia" w:ascii="宋体" w:hAnsi="宋体" w:cs="宋体"/>
                <w:b/>
                <w:color w:val="auto"/>
                <w:sz w:val="24"/>
                <w:szCs w:val="24"/>
                <w:highlight w:val="none"/>
                <w:lang w:val="en-US" w:eastAsia="zh-CN"/>
              </w:rPr>
              <w:t>55</w:t>
            </w:r>
            <w:r>
              <w:rPr>
                <w:rFonts w:hint="eastAsia" w:ascii="宋体" w:hAnsi="宋体" w:eastAsia="宋体" w:cs="宋体"/>
                <w:b/>
                <w:color w:val="auto"/>
                <w:sz w:val="24"/>
                <w:szCs w:val="24"/>
                <w:highlight w:val="none"/>
              </w:rPr>
              <w:t>分）</w:t>
            </w:r>
          </w:p>
        </w:tc>
      </w:tr>
      <w:tr w14:paraId="610EB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B889591">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E8826E">
            <w:pPr>
              <w:widowControl/>
              <w:spacing w:line="360" w:lineRule="auto"/>
              <w:jc w:val="left"/>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根据各投标人对所投产品安装所需要的各项配置（包括如专用工具、附件或配件、备品备件等）的响应情况，由评委进行评议并打分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各项配置均列明表格且详细说明的得</w:t>
            </w:r>
            <w:r>
              <w:rPr>
                <w:rFonts w:hint="eastAsia" w:ascii="宋体" w:hAnsi="宋体" w:cs="宋体"/>
                <w:bCs/>
                <w:color w:val="auto"/>
                <w:sz w:val="24"/>
                <w:szCs w:val="24"/>
                <w:highlight w:val="none"/>
                <w:shd w:val="clear" w:color="auto" w:fill="FFFFFF"/>
                <w:lang w:val="en-US" w:eastAsia="zh-CN"/>
              </w:rPr>
              <w:t>10</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配置描述不齐全但能提供详细说明的得</w:t>
            </w:r>
            <w:r>
              <w:rPr>
                <w:rFonts w:hint="eastAsia" w:ascii="宋体" w:hAnsi="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仅附表格但未做详细说明的得</w:t>
            </w:r>
            <w:r>
              <w:rPr>
                <w:rFonts w:hint="eastAsia" w:ascii="宋体" w:hAnsi="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提供不齐全的或未提供的不得分。</w:t>
            </w:r>
          </w:p>
        </w:tc>
        <w:tc>
          <w:tcPr>
            <w:tcW w:w="1124" w:type="dxa"/>
            <w:noWrap w:val="0"/>
            <w:vAlign w:val="center"/>
          </w:tcPr>
          <w:p w14:paraId="517CCC39">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198E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4536E08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3B5D6C73">
            <w:pPr>
              <w:widowControl/>
              <w:spacing w:line="360" w:lineRule="auto"/>
              <w:jc w:val="left"/>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根据投标人提供的安全生产防范保障措施方案，由评委进行评分：有具体实施安全生产防范保障措施方案、各阶段内容明确详细，步骤明确的得</w:t>
            </w:r>
            <w:r>
              <w:rPr>
                <w:rFonts w:hint="eastAsia" w:ascii="宋体" w:hAnsi="宋体" w:cs="宋体"/>
                <w:bCs/>
                <w:color w:val="auto"/>
                <w:kern w:val="0"/>
                <w:sz w:val="24"/>
                <w:szCs w:val="24"/>
                <w:highlight w:val="none"/>
                <w:lang w:val="en-US" w:eastAsia="zh-CN"/>
              </w:rPr>
              <w:t>10</w:t>
            </w:r>
            <w:r>
              <w:rPr>
                <w:rFonts w:ascii="宋体" w:hAnsi="宋体" w:eastAsia="宋体" w:cs="宋体"/>
                <w:bCs/>
                <w:color w:val="auto"/>
                <w:kern w:val="0"/>
                <w:sz w:val="24"/>
                <w:szCs w:val="24"/>
                <w:highlight w:val="none"/>
              </w:rPr>
              <w:t>分；有具体实施安全生产防范保障措施方案、有各阶段内容，有步骤，但不详细的得</w:t>
            </w:r>
            <w:r>
              <w:rPr>
                <w:rFonts w:hint="eastAsia" w:ascii="宋体" w:hAnsi="宋体" w:cs="宋体"/>
                <w:bCs/>
                <w:color w:val="auto"/>
                <w:kern w:val="0"/>
                <w:sz w:val="24"/>
                <w:szCs w:val="24"/>
                <w:highlight w:val="none"/>
                <w:lang w:val="en-US" w:eastAsia="zh-CN"/>
              </w:rPr>
              <w:t>5</w:t>
            </w:r>
            <w:r>
              <w:rPr>
                <w:rFonts w:ascii="宋体" w:hAnsi="宋体" w:eastAsia="宋体" w:cs="宋体"/>
                <w:bCs/>
                <w:color w:val="auto"/>
                <w:kern w:val="0"/>
                <w:sz w:val="24"/>
                <w:szCs w:val="24"/>
                <w:highlight w:val="none"/>
              </w:rPr>
              <w:t>分；有具体实施安全生产防范保障措施方案、但各阶段工作不明确的得</w:t>
            </w:r>
            <w:r>
              <w:rPr>
                <w:rFonts w:hint="eastAsia" w:ascii="宋体" w:hAnsi="宋体" w:cs="宋体"/>
                <w:bCs/>
                <w:color w:val="auto"/>
                <w:kern w:val="0"/>
                <w:sz w:val="24"/>
                <w:szCs w:val="24"/>
                <w:highlight w:val="none"/>
                <w:lang w:val="en-US" w:eastAsia="zh-CN"/>
              </w:rPr>
              <w:t>2</w:t>
            </w:r>
            <w:r>
              <w:rPr>
                <w:rFonts w:ascii="宋体" w:hAnsi="宋体" w:eastAsia="宋体" w:cs="宋体"/>
                <w:bCs/>
                <w:color w:val="auto"/>
                <w:kern w:val="0"/>
                <w:sz w:val="24"/>
                <w:szCs w:val="24"/>
                <w:highlight w:val="none"/>
              </w:rPr>
              <w:t>分；提供不齐全的或未提供的不得分。</w:t>
            </w:r>
          </w:p>
        </w:tc>
        <w:tc>
          <w:tcPr>
            <w:tcW w:w="1124" w:type="dxa"/>
            <w:noWrap w:val="0"/>
            <w:vAlign w:val="center"/>
          </w:tcPr>
          <w:p w14:paraId="32B4E452">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2C47B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7CC6C862">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11FA46A1">
            <w:pPr>
              <w:widowControl/>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投标人对本次采购的</w:t>
            </w:r>
            <w:r>
              <w:rPr>
                <w:rFonts w:hint="eastAsia" w:ascii="宋体" w:hAnsi="宋体" w:cs="宋体"/>
                <w:bCs/>
                <w:color w:val="auto"/>
                <w:sz w:val="24"/>
                <w:szCs w:val="24"/>
                <w:highlight w:val="none"/>
                <w:lang w:val="en-US" w:eastAsia="zh-CN"/>
              </w:rPr>
              <w:t>文化墙</w:t>
            </w:r>
            <w:r>
              <w:rPr>
                <w:rFonts w:hint="default" w:ascii="宋体" w:hAnsi="宋体" w:eastAsia="宋体" w:cs="宋体"/>
                <w:bCs/>
                <w:color w:val="auto"/>
                <w:sz w:val="24"/>
                <w:szCs w:val="24"/>
                <w:highlight w:val="none"/>
                <w:lang w:val="en-US" w:eastAsia="zh-CN"/>
              </w:rPr>
              <w:t>进行系统全方位设计，提交整体设计方案，包括设计说明理念、详细设计图，</w:t>
            </w:r>
            <w:r>
              <w:rPr>
                <w:rFonts w:hint="eastAsia" w:ascii="宋体" w:hAnsi="宋体" w:cs="宋体"/>
                <w:bCs/>
                <w:color w:val="auto"/>
                <w:sz w:val="24"/>
                <w:szCs w:val="24"/>
                <w:highlight w:val="none"/>
                <w:lang w:val="en-US" w:eastAsia="zh-CN"/>
              </w:rPr>
              <w:t>文化墙</w:t>
            </w:r>
            <w:r>
              <w:rPr>
                <w:rFonts w:hint="default" w:ascii="宋体" w:hAnsi="宋体" w:eastAsia="宋体" w:cs="宋体"/>
                <w:bCs/>
                <w:color w:val="auto"/>
                <w:sz w:val="24"/>
                <w:szCs w:val="24"/>
                <w:highlight w:val="none"/>
                <w:lang w:val="en-US" w:eastAsia="zh-CN"/>
              </w:rPr>
              <w:t>样式及实物参考图片进行评价：能提供完整周全且内容详细且能符合采购人日常使用需求的得</w:t>
            </w:r>
            <w:r>
              <w:rPr>
                <w:rFonts w:hint="eastAsia" w:ascii="宋体" w:hAnsi="宋体" w:cs="宋体"/>
                <w:bCs/>
                <w:color w:val="auto"/>
                <w:sz w:val="24"/>
                <w:szCs w:val="24"/>
                <w:highlight w:val="none"/>
                <w:lang w:val="en-US" w:eastAsia="zh-CN"/>
              </w:rPr>
              <w:t>15</w:t>
            </w:r>
            <w:r>
              <w:rPr>
                <w:rFonts w:hint="default"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提供内容较完整且能符合采购人日常使用需求的得</w:t>
            </w:r>
            <w:r>
              <w:rPr>
                <w:rFonts w:hint="eastAsia" w:ascii="宋体" w:hAnsi="宋体" w:eastAsia="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分；提供内容较差或未提供的为不得分。</w:t>
            </w:r>
          </w:p>
        </w:tc>
        <w:tc>
          <w:tcPr>
            <w:tcW w:w="1124" w:type="dxa"/>
            <w:noWrap w:val="0"/>
            <w:vAlign w:val="center"/>
          </w:tcPr>
          <w:p w14:paraId="3F02A831">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15</w:t>
            </w:r>
          </w:p>
        </w:tc>
      </w:tr>
      <w:tr w14:paraId="0085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88B092B">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83A8B7">
            <w:pPr>
              <w:widowControl/>
              <w:spacing w:line="360" w:lineRule="auto"/>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根据投标人提供的货品包装、运输、装卸、供货、安装组织的具体实施方案等进行评价：整体实施方案</w:t>
            </w:r>
            <w:r>
              <w:rPr>
                <w:rFonts w:ascii="宋体" w:hAnsi="宋体" w:eastAsia="宋体" w:cs="宋体"/>
                <w:bCs/>
                <w:color w:val="auto"/>
                <w:sz w:val="24"/>
                <w:szCs w:val="24"/>
                <w:highlight w:val="none"/>
                <w:shd w:val="clear" w:color="auto" w:fill="FFFFFF"/>
              </w:rPr>
              <w:t>具体</w:t>
            </w:r>
            <w:r>
              <w:rPr>
                <w:rFonts w:hint="eastAsia" w:ascii="宋体" w:hAnsi="宋体" w:eastAsia="宋体" w:cs="宋体"/>
                <w:bCs/>
                <w:color w:val="auto"/>
                <w:sz w:val="24"/>
                <w:szCs w:val="24"/>
                <w:highlight w:val="none"/>
                <w:shd w:val="clear" w:color="auto" w:fill="FFFFFF"/>
                <w:lang w:val="en-US" w:eastAsia="zh-CN"/>
              </w:rPr>
              <w:t>详细</w:t>
            </w:r>
            <w:r>
              <w:rPr>
                <w:rFonts w:ascii="宋体" w:hAnsi="宋体" w:eastAsia="宋体" w:cs="宋体"/>
                <w:bCs/>
                <w:color w:val="auto"/>
                <w:sz w:val="24"/>
                <w:szCs w:val="24"/>
                <w:highlight w:val="none"/>
                <w:shd w:val="clear" w:color="auto" w:fill="FFFFFF"/>
              </w:rPr>
              <w:t>、契合实际、可实施</w:t>
            </w:r>
            <w:r>
              <w:rPr>
                <w:rFonts w:hint="eastAsia" w:ascii="宋体" w:hAnsi="宋体" w:eastAsia="宋体" w:cs="宋体"/>
                <w:bCs/>
                <w:color w:val="auto"/>
                <w:sz w:val="24"/>
                <w:szCs w:val="24"/>
                <w:highlight w:val="none"/>
                <w:shd w:val="clear" w:color="auto" w:fill="FFFFFF"/>
                <w:lang w:val="en-US" w:eastAsia="zh-CN"/>
              </w:rPr>
              <w:t>性强</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w:t>
            </w:r>
            <w:r>
              <w:rPr>
                <w:rFonts w:hint="eastAsia" w:ascii="宋体" w:hAnsi="宋体" w:eastAsia="宋体" w:cs="宋体"/>
                <w:bCs/>
                <w:color w:val="auto"/>
                <w:sz w:val="24"/>
                <w:szCs w:val="24"/>
                <w:highlight w:val="none"/>
                <w:shd w:val="clear" w:color="auto" w:fill="FFFFFF"/>
                <w:lang w:val="en-US" w:eastAsia="zh-CN"/>
              </w:rPr>
              <w:t>性一般</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提供的方案不符合本项目需求的或未提供的不得分。</w:t>
            </w:r>
          </w:p>
        </w:tc>
        <w:tc>
          <w:tcPr>
            <w:tcW w:w="1124" w:type="dxa"/>
            <w:noWrap w:val="0"/>
            <w:vAlign w:val="center"/>
          </w:tcPr>
          <w:p w14:paraId="23ED87DA">
            <w:pPr>
              <w:widowControl/>
              <w:spacing w:line="240" w:lineRule="atLeas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59A45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E17514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7DA73AD6">
            <w:pPr>
              <w:widowControl/>
              <w:spacing w:line="360" w:lineRule="auto"/>
              <w:jc w:val="left"/>
              <w:rPr>
                <w:rStyle w:val="10"/>
                <w:bCs/>
                <w:color w:val="auto"/>
                <w:highlight w:val="none"/>
              </w:rPr>
            </w:pPr>
            <w:r>
              <w:rPr>
                <w:rFonts w:hint="eastAsia" w:ascii="宋体" w:hAnsi="宋体" w:eastAsia="宋体" w:cs="宋体"/>
                <w:bCs/>
                <w:color w:val="auto"/>
                <w:sz w:val="24"/>
                <w:szCs w:val="24"/>
                <w:highlight w:val="none"/>
              </w:rPr>
              <w:t>根据投标人的本地化服务能力进行评价：</w:t>
            </w:r>
            <w:r>
              <w:rPr>
                <w:rFonts w:ascii="宋体" w:hAnsi="宋体" w:eastAsia="宋体" w:cs="宋体"/>
                <w:bCs/>
                <w:color w:val="auto"/>
                <w:kern w:val="0"/>
                <w:sz w:val="24"/>
                <w:szCs w:val="24"/>
                <w:highlight w:val="none"/>
              </w:rPr>
              <w:t>①</w:t>
            </w:r>
            <w:r>
              <w:rPr>
                <w:rFonts w:hint="eastAsia" w:ascii="宋体" w:hAnsi="宋体" w:eastAsia="宋体" w:cs="宋体"/>
                <w:bCs/>
                <w:color w:val="auto"/>
                <w:sz w:val="24"/>
                <w:szCs w:val="24"/>
                <w:highlight w:val="none"/>
              </w:rPr>
              <w:t>投标人承诺中标后在项目所在地提供本地化服务的得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ascii="宋体" w:hAnsi="宋体" w:eastAsia="宋体" w:cs="宋体"/>
                <w:bCs/>
                <w:color w:val="auto"/>
                <w:kern w:val="0"/>
                <w:sz w:val="24"/>
                <w:szCs w:val="24"/>
                <w:highlight w:val="none"/>
              </w:rPr>
              <w:t>② 在前项①的基础上，</w:t>
            </w:r>
            <w:r>
              <w:rPr>
                <w:rFonts w:hint="eastAsia" w:ascii="宋体" w:hAnsi="宋体" w:eastAsia="宋体" w:cs="宋体"/>
                <w:bCs/>
                <w:color w:val="auto"/>
                <w:sz w:val="24"/>
                <w:szCs w:val="24"/>
                <w:highlight w:val="none"/>
              </w:rPr>
              <w:t>公司注册在厦门本地或在厦门有分公司或办事机构或设有备案服务机构或有服务合作单位的，得</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分，须提供承诺及营业执照、设立分公司、办事机构、备案机构证明材料或合作协议，以及办公场所产权证或租赁合同；未提供证明材料或提供证明材料不全的不得分。说明：须提供承诺函，格式自拟。</w:t>
            </w:r>
          </w:p>
        </w:tc>
        <w:tc>
          <w:tcPr>
            <w:tcW w:w="1124" w:type="dxa"/>
            <w:noWrap w:val="0"/>
            <w:vAlign w:val="center"/>
          </w:tcPr>
          <w:p w14:paraId="3EA33225">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65A0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3546505F">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2、商务因素（满分</w:t>
            </w: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rPr>
              <w:t>分）</w:t>
            </w:r>
          </w:p>
        </w:tc>
      </w:tr>
      <w:tr w14:paraId="3319D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360BA72">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0DE4F22D">
            <w:pPr>
              <w:widowControl/>
              <w:spacing w:line="360" w:lineRule="auto"/>
              <w:jc w:val="left"/>
              <w:rPr>
                <w:rFonts w:ascii="宋体" w:hAnsi="宋体" w:eastAsia="宋体" w:cs="宋体"/>
                <w:bCs/>
                <w:color w:val="auto"/>
                <w:sz w:val="24"/>
                <w:szCs w:val="24"/>
                <w:highlight w:val="none"/>
                <w:shd w:val="clear" w:color="auto" w:fill="FFFFFF"/>
              </w:rPr>
            </w:pPr>
            <w:r>
              <w:rPr>
                <w:rFonts w:ascii="宋体" w:hAnsi="宋体" w:eastAsia="宋体" w:cs="宋体"/>
                <w:bCs/>
                <w:color w:val="auto"/>
                <w:sz w:val="24"/>
                <w:szCs w:val="24"/>
                <w:highlight w:val="none"/>
                <w:shd w:val="clear" w:color="auto" w:fill="FFFFFF"/>
              </w:rPr>
              <w:t>根据投标人所提供售后服务方案，从完善程度、可行性等方面进行评议并评分（内容包括但不限于售后服务机构、售后人员、质保期后维保服务等）</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方案完善具体、契合实际、可实施的得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w:t>
            </w:r>
            <w:bookmarkStart w:id="18" w:name="_GoBack"/>
            <w:bookmarkEnd w:id="18"/>
            <w:r>
              <w:rPr>
                <w:rFonts w:ascii="宋体" w:hAnsi="宋体" w:eastAsia="宋体" w:cs="宋体"/>
                <w:bCs/>
                <w:color w:val="auto"/>
                <w:sz w:val="24"/>
                <w:szCs w:val="24"/>
                <w:highlight w:val="none"/>
                <w:shd w:val="clear" w:color="auto" w:fill="FFFFFF"/>
              </w:rPr>
              <w:t>的或未提供的不得分。</w:t>
            </w:r>
          </w:p>
        </w:tc>
        <w:tc>
          <w:tcPr>
            <w:tcW w:w="1124" w:type="dxa"/>
            <w:noWrap w:val="0"/>
            <w:vAlign w:val="center"/>
          </w:tcPr>
          <w:p w14:paraId="0EAF0FFD">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3796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17EFE958">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7802F928">
            <w:pPr>
              <w:widowControl/>
              <w:spacing w:line="360" w:lineRule="auto"/>
              <w:jc w:val="left"/>
              <w:rPr>
                <w:rStyle w:val="10"/>
                <w:rFonts w:hint="default" w:eastAsia="宋体"/>
                <w:bCs/>
                <w:color w:val="auto"/>
                <w:highlight w:val="none"/>
                <w:lang w:val="en-US" w:eastAsia="zh-CN"/>
              </w:rPr>
            </w:pPr>
            <w:r>
              <w:rPr>
                <w:rStyle w:val="10"/>
                <w:rFonts w:hint="eastAsia"/>
                <w:bCs/>
                <w:color w:val="auto"/>
                <w:highlight w:val="none"/>
                <w:lang w:val="en-US" w:eastAsia="zh-CN"/>
              </w:rPr>
              <w:t>根据投标人所提供过往服务相关展厅案例及合同进行评价：3个（含3个）及以上案例得10分；2个（含2个）至1个案例得5分；没有相关案例不得分。</w:t>
            </w:r>
          </w:p>
        </w:tc>
        <w:tc>
          <w:tcPr>
            <w:tcW w:w="1124" w:type="dxa"/>
            <w:noWrap w:val="0"/>
            <w:vAlign w:val="center"/>
          </w:tcPr>
          <w:p w14:paraId="449F36A9">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A32D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00D5F4DF">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51E57EE7">
            <w:pPr>
              <w:widowControl/>
              <w:spacing w:line="360" w:lineRule="auto"/>
              <w:jc w:val="left"/>
              <w:rPr>
                <w:rFonts w:ascii="宋体" w:hAnsi="宋体" w:eastAsia="宋体" w:cs="宋体"/>
                <w:bCs/>
                <w:color w:val="auto"/>
                <w:kern w:val="0"/>
                <w:sz w:val="24"/>
                <w:szCs w:val="24"/>
                <w:highlight w:val="none"/>
              </w:rPr>
            </w:pPr>
            <w:r>
              <w:rPr>
                <w:rStyle w:val="10"/>
                <w:bCs/>
                <w:color w:val="auto"/>
                <w:highlight w:val="none"/>
              </w:rPr>
              <w:t>根据投标人提供的产品质保期进行评价：投标人承诺的质保期满足招标文件要求</w:t>
            </w:r>
            <w:r>
              <w:rPr>
                <w:rStyle w:val="10"/>
                <w:rFonts w:hint="eastAsia" w:eastAsia="宋体"/>
                <w:bCs/>
                <w:color w:val="auto"/>
                <w:highlight w:val="none"/>
                <w:lang w:eastAsia="zh-CN"/>
              </w:rPr>
              <w:t>（</w:t>
            </w:r>
            <w:r>
              <w:rPr>
                <w:rStyle w:val="10"/>
                <w:rFonts w:hint="eastAsia"/>
                <w:bCs/>
                <w:color w:val="auto"/>
                <w:highlight w:val="none"/>
                <w:lang w:val="en-US" w:eastAsia="zh-CN"/>
              </w:rPr>
              <w:t>3</w:t>
            </w:r>
            <w:r>
              <w:rPr>
                <w:rStyle w:val="10"/>
                <w:rFonts w:hint="eastAsia" w:eastAsia="宋体"/>
                <w:bCs/>
                <w:color w:val="auto"/>
                <w:highlight w:val="none"/>
                <w:lang w:val="en-US" w:eastAsia="zh-CN"/>
              </w:rPr>
              <w:t>年）</w:t>
            </w:r>
            <w:r>
              <w:rPr>
                <w:rStyle w:val="10"/>
                <w:bCs/>
                <w:color w:val="auto"/>
                <w:highlight w:val="none"/>
              </w:rPr>
              <w:t>的</w:t>
            </w:r>
            <w:r>
              <w:rPr>
                <w:rStyle w:val="10"/>
                <w:rFonts w:hint="eastAsia" w:eastAsia="宋体"/>
                <w:bCs/>
                <w:color w:val="auto"/>
                <w:highlight w:val="none"/>
                <w:lang w:val="en-US" w:eastAsia="zh-CN"/>
              </w:rPr>
              <w:t>得</w:t>
            </w:r>
            <w:r>
              <w:rPr>
                <w:rStyle w:val="10"/>
                <w:rFonts w:hint="eastAsia"/>
                <w:bCs/>
                <w:color w:val="auto"/>
                <w:highlight w:val="none"/>
                <w:lang w:val="en-US" w:eastAsia="zh-CN"/>
              </w:rPr>
              <w:t>5</w:t>
            </w:r>
            <w:r>
              <w:rPr>
                <w:rStyle w:val="10"/>
                <w:rFonts w:hint="eastAsia" w:eastAsia="宋体"/>
                <w:bCs/>
                <w:color w:val="auto"/>
                <w:highlight w:val="none"/>
                <w:lang w:val="en-US" w:eastAsia="zh-CN"/>
              </w:rPr>
              <w:t>分，在此</w:t>
            </w:r>
            <w:r>
              <w:rPr>
                <w:rStyle w:val="10"/>
                <w:bCs/>
                <w:color w:val="auto"/>
                <w:highlight w:val="none"/>
              </w:rPr>
              <w:t>基础上延长1年质保加1</w:t>
            </w:r>
            <w:r>
              <w:rPr>
                <w:rStyle w:val="10"/>
                <w:rFonts w:hint="eastAsia"/>
                <w:bCs/>
                <w:color w:val="auto"/>
                <w:highlight w:val="none"/>
                <w:lang w:val="en-US" w:eastAsia="zh-CN"/>
              </w:rPr>
              <w:t>0</w:t>
            </w:r>
            <w:r>
              <w:rPr>
                <w:rStyle w:val="10"/>
                <w:bCs/>
                <w:color w:val="auto"/>
                <w:highlight w:val="none"/>
              </w:rPr>
              <w:t>分，满分</w:t>
            </w:r>
            <w:r>
              <w:rPr>
                <w:rStyle w:val="10"/>
                <w:rFonts w:hint="eastAsia"/>
                <w:bCs/>
                <w:color w:val="auto"/>
                <w:highlight w:val="none"/>
                <w:lang w:val="en-US" w:eastAsia="zh-CN"/>
              </w:rPr>
              <w:t>10</w:t>
            </w:r>
            <w:r>
              <w:rPr>
                <w:rStyle w:val="10"/>
                <w:bCs/>
                <w:color w:val="auto"/>
                <w:highlight w:val="none"/>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lang w:val="en-US" w:eastAsia="zh-CN"/>
              </w:rPr>
              <w:t>否则</w:t>
            </w:r>
            <w:r>
              <w:rPr>
                <w:rFonts w:ascii="宋体" w:hAnsi="宋体" w:eastAsia="宋体" w:cs="宋体"/>
                <w:bCs/>
                <w:color w:val="auto"/>
                <w:sz w:val="24"/>
                <w:szCs w:val="24"/>
                <w:highlight w:val="none"/>
                <w:shd w:val="clear" w:color="auto" w:fill="FFFFFF"/>
              </w:rPr>
              <w:t>不得分。</w:t>
            </w:r>
          </w:p>
        </w:tc>
        <w:tc>
          <w:tcPr>
            <w:tcW w:w="1124" w:type="dxa"/>
            <w:noWrap w:val="0"/>
            <w:vAlign w:val="center"/>
          </w:tcPr>
          <w:p w14:paraId="50A89A1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r>
      <w:tr w14:paraId="4576F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881" w:type="dxa"/>
            <w:gridSpan w:val="3"/>
            <w:noWrap w:val="0"/>
            <w:vAlign w:val="center"/>
          </w:tcPr>
          <w:p w14:paraId="33037DFB">
            <w:pPr>
              <w:spacing w:line="360" w:lineRule="auto"/>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3、价格因素（满分</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r>
      <w:tr w14:paraId="19E25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8881" w:type="dxa"/>
            <w:gridSpan w:val="3"/>
            <w:noWrap w:val="0"/>
            <w:vAlign w:val="center"/>
          </w:tcPr>
          <w:p w14:paraId="6EF255C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通过审核的最低投标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设为基准折扣率，定其价格得分为</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分。按公式：</w:t>
            </w:r>
          </w:p>
          <w:p w14:paraId="73B0C81E">
            <w:pPr>
              <w:pStyle w:val="3"/>
              <w:keepNext w:val="0"/>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价格得分＝</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×基准折扣率/各个通过审核的投标人的投标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，由此算出各个通过审核的投标人的价格得分。</w:t>
            </w:r>
          </w:p>
        </w:tc>
      </w:tr>
      <w:tr w14:paraId="785FD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71E11814">
            <w:pPr>
              <w:spacing w:line="48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各有效投标人的最后综合得分＝技术因素＋商务因素＋价格因素</w:t>
            </w:r>
          </w:p>
        </w:tc>
      </w:tr>
    </w:tbl>
    <w:p w14:paraId="0EF35D31">
      <w:pPr>
        <w:pStyle w:val="4"/>
        <w:spacing w:line="360" w:lineRule="auto"/>
        <w:rPr>
          <w:rFonts w:hAnsi="宋体"/>
          <w:bCs/>
          <w:color w:val="auto"/>
          <w:sz w:val="24"/>
          <w:highlight w:val="none"/>
        </w:rPr>
      </w:pPr>
      <w:r>
        <w:rPr>
          <w:rFonts w:hint="eastAsia" w:hAnsi="宋体"/>
          <w:bCs/>
          <w:color w:val="auto"/>
          <w:sz w:val="24"/>
          <w:highlight w:val="none"/>
        </w:rPr>
        <w:t>备注：</w:t>
      </w:r>
      <w:r>
        <w:rPr>
          <w:rFonts w:hAnsi="宋体"/>
          <w:bCs/>
          <w:color w:val="auto"/>
          <w:sz w:val="24"/>
          <w:highlight w:val="none"/>
        </w:rPr>
        <w:t>1、对评委技术、商务部分评分结果统计时，将</w:t>
      </w:r>
      <w:r>
        <w:rPr>
          <w:rFonts w:hint="eastAsia" w:hAnsi="宋体"/>
          <w:bCs/>
          <w:color w:val="auto"/>
          <w:sz w:val="24"/>
          <w:highlight w:val="none"/>
        </w:rPr>
        <w:t>进行</w:t>
      </w:r>
      <w:r>
        <w:rPr>
          <w:rFonts w:hAnsi="宋体"/>
          <w:bCs/>
          <w:color w:val="auto"/>
          <w:sz w:val="24"/>
          <w:highlight w:val="none"/>
        </w:rPr>
        <w:t>算术平均计算各有效投标人的技术、商务最终得分。</w:t>
      </w:r>
    </w:p>
    <w:p w14:paraId="25822768">
      <w:pPr>
        <w:pStyle w:val="4"/>
        <w:spacing w:line="360" w:lineRule="auto"/>
        <w:ind w:firstLine="720" w:firstLineChars="300"/>
        <w:rPr>
          <w:rFonts w:hAnsi="宋体"/>
          <w:bCs/>
          <w:color w:val="auto"/>
          <w:sz w:val="24"/>
          <w:highlight w:val="none"/>
        </w:rPr>
      </w:pPr>
      <w:r>
        <w:rPr>
          <w:rFonts w:hAnsi="宋体"/>
          <w:bCs/>
          <w:color w:val="auto"/>
          <w:sz w:val="24"/>
          <w:highlight w:val="none"/>
        </w:rPr>
        <w:t>2、技术商务评分中涉及排名情况的评分由评标委员会根据各投标人投标文件的响应情况进行综合评议得出排名</w:t>
      </w:r>
      <w:r>
        <w:rPr>
          <w:rFonts w:hint="eastAsia" w:hAnsi="宋体"/>
          <w:bCs/>
          <w:color w:val="auto"/>
          <w:sz w:val="24"/>
          <w:highlight w:val="none"/>
        </w:rPr>
        <w:t>。</w:t>
      </w:r>
    </w:p>
    <w:p w14:paraId="7439A913">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二、项目基本要求</w:t>
      </w:r>
    </w:p>
    <w:p w14:paraId="2DB13AC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1、交货期：合同签订之日起20个工作日内（含交货、安装并验收合格交付使用）。</w:t>
      </w:r>
    </w:p>
    <w:p w14:paraId="5376CA09">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2、交货地点：买方指定的地点。</w:t>
      </w:r>
    </w:p>
    <w:p w14:paraId="7A3EC5F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3、本批招标项目要求投标人承诺自项目验收合格并交付使用之日算起，对项目提供自验收合格之日起至少3年免费质保（清单中另有约定的从其约定，若中标人有更优承诺的，按中标人承诺），保修期间中标人应提供一切免费维修服务(含零配件的更换)。保修期满后,应提供优质优惠维修，所需的费用应包含在投标报价中。</w:t>
      </w:r>
    </w:p>
    <w:p w14:paraId="0A8B100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4、若中标人所提供的产品发生毁损或确需更换及维修，中标人须在1小时内响应，8小时内修复或更换完成，否则视为中标人违约，采购人有权按人民币500元/天进行处罚。</w:t>
      </w:r>
    </w:p>
    <w:p w14:paraId="7AE9F12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5、中标人提供的产品质量不合格，达不到要求，采购人有权拒收，并拒绝付款。中标人应按技术规范重新提供货物并对因质量问题造成的损失负赔偿责任。</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24B1F"/>
    <w:multiLevelType w:val="multilevel"/>
    <w:tmpl w:val="0BC24B1F"/>
    <w:lvl w:ilvl="0" w:tentative="0">
      <w:start w:val="1"/>
      <w:numFmt w:val="decimal"/>
      <w:suff w:val="nothing"/>
      <w:lvlText w:val="1-%1"/>
      <w:lvlJc w:val="left"/>
      <w:pPr>
        <w:ind w:left="562" w:hanging="420"/>
      </w:pPr>
      <w:rPr>
        <w:rFonts w:hint="eastAsia"/>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
    <w:nsid w:val="5EBF1D3D"/>
    <w:multiLevelType w:val="multilevel"/>
    <w:tmpl w:val="5EBF1D3D"/>
    <w:lvl w:ilvl="0" w:tentative="0">
      <w:start w:val="1"/>
      <w:numFmt w:val="decimal"/>
      <w:suff w:val="nothing"/>
      <w:lvlText w:val="2-%1"/>
      <w:lvlJc w:val="left"/>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jY1YzkyYjQyZDJiZDAzZjlmY2U3ZDZkMzdjNGUifQ=="/>
  </w:docVars>
  <w:rsids>
    <w:rsidRoot w:val="00000000"/>
    <w:rsid w:val="006A1159"/>
    <w:rsid w:val="098D2389"/>
    <w:rsid w:val="19F70FDC"/>
    <w:rsid w:val="2B045D15"/>
    <w:rsid w:val="31AC0158"/>
    <w:rsid w:val="3B0472A2"/>
    <w:rsid w:val="3B903C0F"/>
    <w:rsid w:val="40594423"/>
    <w:rsid w:val="52490498"/>
    <w:rsid w:val="5A663603"/>
    <w:rsid w:val="61D37204"/>
    <w:rsid w:val="67B82782"/>
    <w:rsid w:val="6BC7666A"/>
    <w:rsid w:val="73AC3858"/>
    <w:rsid w:val="74AF580F"/>
    <w:rsid w:val="7ECB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spacing w:after="120" w:line="480" w:lineRule="auto"/>
      <w:ind w:left="420"/>
    </w:pPr>
    <w:rPr>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
    <w:name w:val="Char Char Char Char Char Char Char"/>
    <w:basedOn w:val="1"/>
    <w:qFormat/>
    <w:uiPriority w:val="0"/>
  </w:style>
  <w:style w:type="character" w:customStyle="1" w:styleId="10">
    <w:name w:val="fontstyle01"/>
    <w:qFormat/>
    <w:uiPriority w:val="0"/>
    <w:rPr>
      <w:rFonts w:ascii="宋体" w:hAnsi="宋体" w:eastAsia="宋体" w:cs="宋体"/>
      <w:color w:val="000000"/>
      <w:sz w:val="24"/>
      <w:szCs w:val="24"/>
    </w:rPr>
  </w:style>
  <w:style w:type="paragraph" w:customStyle="1" w:styleId="11">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2584</Words>
  <Characters>2608</Characters>
  <Lines>0</Lines>
  <Paragraphs>0</Paragraphs>
  <TotalTime>114</TotalTime>
  <ScaleCrop>false</ScaleCrop>
  <LinksUpToDate>false</LinksUpToDate>
  <CharactersWithSpaces>2615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2024-09-09T01:14:00Z</dcterms:created>
  <dc:creator>s</dc:creator>
  <cp:lastModifiedBy>加菲</cp:lastModifiedBy>
  <dcterms:modified xsi:type="dcterms:W3CDTF">2025-03-18T01:05:41Z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BEC726BDC03844C3A8D7D3966FB538B6_13</vt:lpwstr>
  </property>
  <property fmtid="{D5CDD505-2E9C-101B-9397-08002B2CF9AE}" pid="4" name="KSOTemplateDocerSaveRecord">
    <vt:lpwstr>eyJoZGlkIjoiZDhlMjY1YzkyYjQyZDJiZDAzZjlmY2U3ZDZkMzdjNGUiLCJ1c2VySWQiOiIyMzQ5NDAzNjEifQ==</vt:lpwstr>
  </property>
</Properties>
</file>