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64B05">
      <w:pPr>
        <w:jc w:val="center"/>
        <w:rPr>
          <w:b/>
          <w:bCs/>
          <w:sz w:val="32"/>
          <w:szCs w:val="40"/>
        </w:rPr>
      </w:pPr>
      <w:r>
        <w:rPr>
          <w:rFonts w:hint="eastAsia" w:ascii="方正小标宋简体" w:hAnsi="方正小标宋简体" w:eastAsia="方正小标宋简体" w:cs="方正小标宋简体"/>
          <w:b/>
          <w:bCs/>
          <w:sz w:val="32"/>
          <w:szCs w:val="40"/>
        </w:rPr>
        <w:t>招标内容及要求</w:t>
      </w:r>
    </w:p>
    <w:p w14:paraId="7438C758">
      <w:pPr>
        <w:pStyle w:val="3"/>
        <w:keepNext w:val="0"/>
        <w:keepLines w:val="0"/>
        <w:spacing w:before="156" w:beforeLines="50" w:after="156" w:afterLines="50" w:line="240" w:lineRule="auto"/>
        <w:rPr>
          <w:rFonts w:ascii="宋体" w:hAnsi="宋体" w:eastAsia="宋体" w:cs="宋体"/>
          <w:sz w:val="24"/>
          <w:szCs w:val="24"/>
        </w:rPr>
      </w:pPr>
      <w:bookmarkStart w:id="0" w:name="_Toc475437279"/>
      <w:bookmarkStart w:id="1" w:name="_Toc14855"/>
      <w:r>
        <w:rPr>
          <w:rFonts w:hint="eastAsia" w:ascii="宋体" w:hAnsi="宋体" w:eastAsia="宋体" w:cs="宋体"/>
          <w:sz w:val="24"/>
          <w:szCs w:val="24"/>
        </w:rPr>
        <w:t>一、采购项目概况</w:t>
      </w:r>
      <w:bookmarkEnd w:id="0"/>
      <w:bookmarkEnd w:id="1"/>
    </w:p>
    <w:p w14:paraId="41447494">
      <w:pPr>
        <w:spacing w:line="400" w:lineRule="exact"/>
        <w:ind w:firstLine="480" w:firstLineChars="200"/>
        <w:rPr>
          <w:rFonts w:hint="default" w:ascii="宋体" w:hAnsi="宋体" w:cs="Arial" w:eastAsiaTheme="minorEastAsia"/>
          <w:sz w:val="24"/>
          <w:lang w:val="en-US" w:eastAsia="zh-CN"/>
        </w:rPr>
      </w:pPr>
      <w:r>
        <w:rPr>
          <w:rFonts w:hint="eastAsia" w:ascii="宋体" w:hAnsi="宋体" w:cs="Arial"/>
          <w:sz w:val="24"/>
        </w:rPr>
        <w:t>1.1、本项目为</w:t>
      </w:r>
      <w:r>
        <w:rPr>
          <w:rFonts w:hint="eastAsia" w:ascii="宋体" w:hAnsi="宋体" w:cs="Arial"/>
          <w:sz w:val="24"/>
          <w:lang w:val="en-US" w:eastAsia="zh-CN"/>
        </w:rPr>
        <w:t>安检设施系统建设</w:t>
      </w:r>
    </w:p>
    <w:p w14:paraId="71C77B0C">
      <w:pPr>
        <w:ind w:firstLine="480"/>
        <w:rPr>
          <w:rFonts w:ascii="宋体" w:hAnsi="宋体" w:cs="Arial"/>
          <w:sz w:val="24"/>
        </w:rPr>
      </w:pPr>
      <w:r>
        <w:rPr>
          <w:rFonts w:hint="eastAsia" w:ascii="宋体" w:hAnsi="宋体" w:cs="Arial"/>
          <w:sz w:val="24"/>
        </w:rPr>
        <w:t>1.2、未经采购人同意，不得转包和分包。</w:t>
      </w:r>
    </w:p>
    <w:p w14:paraId="2A889F1C">
      <w:pPr>
        <w:pStyle w:val="3"/>
        <w:keepNext w:val="0"/>
        <w:keepLines w:val="0"/>
        <w:numPr>
          <w:ilvl w:val="0"/>
          <w:numId w:val="0"/>
        </w:numPr>
        <w:spacing w:before="156" w:beforeLines="50" w:after="156" w:afterLines="50" w:line="240" w:lineRule="auto"/>
        <w:rPr>
          <w:rFonts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评分标准</w:t>
      </w:r>
    </w:p>
    <w:tbl>
      <w:tblPr>
        <w:tblStyle w:val="9"/>
        <w:tblpPr w:leftFromText="180" w:rightFromText="180" w:vertAnchor="page" w:horzAnchor="page" w:tblpX="1669" w:tblpY="4081"/>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77"/>
        <w:gridCol w:w="753"/>
        <w:gridCol w:w="6450"/>
        <w:gridCol w:w="744"/>
      </w:tblGrid>
      <w:tr w14:paraId="6A8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04" w:type="dxa"/>
            <w:vAlign w:val="center"/>
          </w:tcPr>
          <w:p w14:paraId="27077D1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类别</w:t>
            </w:r>
          </w:p>
        </w:tc>
        <w:tc>
          <w:tcPr>
            <w:tcW w:w="1177" w:type="dxa"/>
            <w:vAlign w:val="center"/>
          </w:tcPr>
          <w:p w14:paraId="0DCE50CC">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计分因素</w:t>
            </w:r>
          </w:p>
        </w:tc>
        <w:tc>
          <w:tcPr>
            <w:tcW w:w="753" w:type="dxa"/>
            <w:vAlign w:val="center"/>
          </w:tcPr>
          <w:p w14:paraId="10FCEA73">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6450" w:type="dxa"/>
            <w:vAlign w:val="center"/>
          </w:tcPr>
          <w:p w14:paraId="382AF177">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744" w:type="dxa"/>
            <w:vAlign w:val="center"/>
          </w:tcPr>
          <w:p w14:paraId="2C7815BA">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评分</w:t>
            </w:r>
          </w:p>
        </w:tc>
      </w:tr>
      <w:tr w14:paraId="1F7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65D557F0">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总分</w:t>
            </w:r>
          </w:p>
        </w:tc>
        <w:tc>
          <w:tcPr>
            <w:tcW w:w="1177" w:type="dxa"/>
            <w:vAlign w:val="center"/>
          </w:tcPr>
          <w:p w14:paraId="471EE933">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753" w:type="dxa"/>
            <w:vAlign w:val="center"/>
          </w:tcPr>
          <w:p w14:paraId="249A54DC">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100</w:t>
            </w:r>
          </w:p>
        </w:tc>
        <w:tc>
          <w:tcPr>
            <w:tcW w:w="6450" w:type="dxa"/>
            <w:vAlign w:val="center"/>
          </w:tcPr>
          <w:p w14:paraId="09169F68">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45</w:t>
            </w:r>
            <w:r>
              <w:rPr>
                <w:rFonts w:hint="eastAsia" w:ascii="宋体" w:hAnsi="宋体" w:eastAsia="宋体" w:cs="宋体"/>
                <w:sz w:val="21"/>
                <w:szCs w:val="21"/>
              </w:rPr>
              <w:t>分</w:t>
            </w:r>
          </w:p>
          <w:p w14:paraId="2FCD6D20">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rPr>
              <w:t>商务部分：2</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5D049AC7">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lang w:val="en-US" w:eastAsia="zh-CN"/>
              </w:rPr>
              <w:t>报价部分</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744" w:type="dxa"/>
            <w:vAlign w:val="center"/>
          </w:tcPr>
          <w:p w14:paraId="70CA5B76">
            <w:pPr>
              <w:spacing w:line="440" w:lineRule="exact"/>
              <w:jc w:val="center"/>
              <w:rPr>
                <w:rFonts w:hint="eastAsia" w:ascii="宋体" w:hAnsi="宋体" w:eastAsia="宋体" w:cs="宋体"/>
                <w:sz w:val="21"/>
                <w:szCs w:val="21"/>
              </w:rPr>
            </w:pPr>
          </w:p>
        </w:tc>
      </w:tr>
      <w:tr w14:paraId="1445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vMerge w:val="restart"/>
            <w:vAlign w:val="center"/>
          </w:tcPr>
          <w:p w14:paraId="2F0498A8">
            <w:pPr>
              <w:spacing w:line="360" w:lineRule="exact"/>
              <w:ind w:right="105" w:rightChars="50"/>
              <w:jc w:val="center"/>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45</w:t>
            </w:r>
            <w:r>
              <w:rPr>
                <w:rFonts w:hint="eastAsia" w:ascii="宋体" w:hAnsi="宋体" w:eastAsia="宋体" w:cs="宋体"/>
                <w:sz w:val="21"/>
                <w:szCs w:val="21"/>
              </w:rPr>
              <w:t>分</w:t>
            </w:r>
          </w:p>
        </w:tc>
        <w:tc>
          <w:tcPr>
            <w:tcW w:w="1177" w:type="dxa"/>
            <w:vMerge w:val="restart"/>
            <w:vAlign w:val="center"/>
          </w:tcPr>
          <w:p w14:paraId="4124EB85">
            <w:pPr>
              <w:spacing w:line="360" w:lineRule="exact"/>
              <w:ind w:right="105"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技术方案</w:t>
            </w:r>
          </w:p>
        </w:tc>
        <w:tc>
          <w:tcPr>
            <w:tcW w:w="753" w:type="dxa"/>
            <w:vAlign w:val="center"/>
          </w:tcPr>
          <w:p w14:paraId="721AF0FD">
            <w:pPr>
              <w:spacing w:line="360" w:lineRule="exact"/>
              <w:ind w:right="105" w:rightChars="5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6450" w:type="dxa"/>
            <w:vAlign w:val="center"/>
          </w:tcPr>
          <w:p w14:paraId="4BADA29D">
            <w:pPr>
              <w:spacing w:line="360" w:lineRule="exact"/>
              <w:ind w:right="105" w:rightChars="50"/>
              <w:rPr>
                <w:rFonts w:hint="eastAsia" w:ascii="宋体" w:hAnsi="宋体" w:eastAsia="宋体" w:cs="宋体"/>
                <w:sz w:val="21"/>
                <w:szCs w:val="21"/>
                <w:lang w:eastAsia="zh-CN"/>
              </w:rPr>
            </w:pPr>
            <w:r>
              <w:rPr>
                <w:rFonts w:hint="eastAsia" w:ascii="宋体" w:hAnsi="宋体" w:eastAsia="宋体" w:cs="宋体"/>
                <w:sz w:val="21"/>
                <w:szCs w:val="21"/>
                <w:lang w:val="en-US" w:eastAsia="zh-CN"/>
              </w:rPr>
              <w:t>安检设备</w:t>
            </w:r>
            <w:r>
              <w:rPr>
                <w:rFonts w:hint="eastAsia" w:ascii="宋体" w:hAnsi="宋体" w:eastAsia="宋体" w:cs="宋体"/>
                <w:sz w:val="21"/>
                <w:szCs w:val="21"/>
              </w:rPr>
              <w:t>整体方案</w:t>
            </w:r>
            <w:r>
              <w:rPr>
                <w:rFonts w:hint="eastAsia" w:ascii="宋体" w:hAnsi="宋体" w:eastAsia="宋体" w:cs="宋体"/>
                <w:sz w:val="21"/>
                <w:szCs w:val="21"/>
                <w:lang w:eastAsia="zh-CN"/>
              </w:rPr>
              <w:t>：</w:t>
            </w:r>
          </w:p>
          <w:p w14:paraId="06EAE8F3">
            <w:pPr>
              <w:spacing w:line="360" w:lineRule="exact"/>
              <w:ind w:right="105" w:rightChars="5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w:t>
            </w:r>
            <w:r>
              <w:rPr>
                <w:rFonts w:hint="eastAsia" w:ascii="宋体" w:hAnsi="宋体" w:eastAsia="宋体" w:cs="宋体"/>
                <w:sz w:val="21"/>
                <w:szCs w:val="21"/>
              </w:rPr>
              <w:t>双源双视角智能安检机</w:t>
            </w:r>
            <w:r>
              <w:rPr>
                <w:rFonts w:hint="eastAsia" w:ascii="宋体" w:hAnsi="宋体" w:eastAsia="宋体" w:cs="宋体"/>
                <w:sz w:val="21"/>
                <w:szCs w:val="21"/>
                <w:lang w:eastAsia="zh-CN"/>
              </w:rPr>
              <w:t>：</w:t>
            </w:r>
          </w:p>
          <w:p w14:paraId="64BD036C">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lang w:val="en-US" w:eastAsia="zh-CN"/>
              </w:rPr>
              <w:t>（1）安检X光机</w:t>
            </w:r>
            <w:r>
              <w:rPr>
                <w:rFonts w:hint="eastAsia" w:ascii="宋体" w:hAnsi="宋体" w:eastAsia="宋体" w:cs="宋体"/>
                <w:sz w:val="21"/>
                <w:szCs w:val="21"/>
              </w:rPr>
              <w:t>设备应具有图像存储功能，应存储不少于</w:t>
            </w:r>
            <w:r>
              <w:rPr>
                <w:rFonts w:hint="eastAsia" w:ascii="宋体" w:hAnsi="宋体" w:eastAsia="宋体" w:cs="宋体"/>
                <w:sz w:val="21"/>
                <w:szCs w:val="21"/>
                <w:lang w:val="en-US" w:eastAsia="zh-CN"/>
              </w:rPr>
              <w:t>5</w:t>
            </w:r>
            <w:r>
              <w:rPr>
                <w:rFonts w:hint="eastAsia" w:ascii="宋体" w:hAnsi="宋体" w:eastAsia="宋体" w:cs="宋体"/>
                <w:sz w:val="21"/>
                <w:szCs w:val="21"/>
              </w:rPr>
              <w:t>00万幅图像</w:t>
            </w:r>
            <w:r>
              <w:rPr>
                <w:rFonts w:hint="eastAsia" w:ascii="宋体" w:hAnsi="宋体" w:eastAsia="宋体" w:cs="宋体"/>
                <w:sz w:val="21"/>
                <w:szCs w:val="21"/>
                <w:lang w:val="en-US" w:eastAsia="zh-CN"/>
              </w:rPr>
              <w:t>满足得2分，不小于1000万得4分，否则得0分</w:t>
            </w:r>
            <w:r>
              <w:rPr>
                <w:rFonts w:hint="eastAsia" w:ascii="宋体" w:hAnsi="宋体" w:eastAsia="宋体" w:cs="宋体"/>
                <w:sz w:val="21"/>
                <w:szCs w:val="21"/>
              </w:rPr>
              <w:t>（提供公安部有效检测报告复印件并加盖投标人公章做为依据，原件备查）</w:t>
            </w:r>
            <w:r>
              <w:rPr>
                <w:rFonts w:hint="eastAsia" w:ascii="宋体" w:hAnsi="宋体" w:eastAsia="宋体" w:cs="宋体"/>
                <w:sz w:val="21"/>
                <w:szCs w:val="21"/>
                <w:lang w:val="en-US" w:eastAsia="zh-CN"/>
              </w:rPr>
              <w:t>。</w:t>
            </w:r>
          </w:p>
          <w:p w14:paraId="0F7AD94F">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安检X光机</w:t>
            </w:r>
            <w:r>
              <w:rPr>
                <w:rFonts w:hint="eastAsia" w:ascii="宋体" w:hAnsi="宋体" w:eastAsia="宋体" w:cs="宋体"/>
                <w:sz w:val="21"/>
                <w:szCs w:val="21"/>
              </w:rPr>
              <w:t>设备正常工作时，封闭式设备在距设备的任何可达表面0.1m处（包括设备的入口、出口处）周围剂量当量率应小于等于0.</w:t>
            </w:r>
            <w:r>
              <w:rPr>
                <w:rFonts w:hint="eastAsia" w:ascii="宋体" w:hAnsi="宋体" w:eastAsia="宋体" w:cs="宋体"/>
                <w:sz w:val="21"/>
                <w:szCs w:val="21"/>
                <w:lang w:val="en-US" w:eastAsia="zh-CN"/>
              </w:rPr>
              <w:t>5</w:t>
            </w:r>
            <w:r>
              <w:rPr>
                <w:rFonts w:hint="eastAsia" w:ascii="宋体" w:hAnsi="宋体" w:eastAsia="宋体" w:cs="宋体"/>
                <w:sz w:val="21"/>
                <w:szCs w:val="21"/>
              </w:rPr>
              <w:t>uSv/h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满足得2分，小于等于0.1</w:t>
            </w:r>
            <w:r>
              <w:rPr>
                <w:rFonts w:hint="eastAsia" w:ascii="宋体" w:hAnsi="宋体" w:eastAsia="宋体" w:cs="宋体"/>
                <w:sz w:val="21"/>
                <w:szCs w:val="21"/>
              </w:rPr>
              <w:t>uSv/h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满足得4分，否则得0分；</w:t>
            </w:r>
            <w:r>
              <w:rPr>
                <w:rFonts w:hint="eastAsia" w:ascii="宋体" w:hAnsi="宋体" w:eastAsia="宋体" w:cs="宋体"/>
                <w:sz w:val="21"/>
                <w:szCs w:val="21"/>
              </w:rPr>
              <w:t>工作人员位置的周围剂量当量率应小于等于0.</w:t>
            </w:r>
            <w:r>
              <w:rPr>
                <w:rFonts w:hint="eastAsia" w:ascii="宋体" w:hAnsi="宋体" w:eastAsia="宋体" w:cs="宋体"/>
                <w:sz w:val="21"/>
                <w:szCs w:val="21"/>
                <w:lang w:val="en-US" w:eastAsia="zh-CN"/>
              </w:rPr>
              <w:t>5</w:t>
            </w:r>
            <w:r>
              <w:rPr>
                <w:rFonts w:hint="eastAsia" w:ascii="宋体" w:hAnsi="宋体" w:eastAsia="宋体" w:cs="宋体"/>
                <w:sz w:val="21"/>
                <w:szCs w:val="21"/>
              </w:rPr>
              <w:t>uSv/h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满足得2分，小于等于0.1</w:t>
            </w:r>
            <w:r>
              <w:rPr>
                <w:rFonts w:hint="eastAsia" w:ascii="宋体" w:hAnsi="宋体" w:eastAsia="宋体" w:cs="宋体"/>
                <w:sz w:val="21"/>
                <w:szCs w:val="21"/>
              </w:rPr>
              <w:t>uSv/h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满足得4分，否则得0分</w:t>
            </w:r>
            <w:r>
              <w:rPr>
                <w:rFonts w:hint="eastAsia" w:ascii="宋体" w:hAnsi="宋体" w:eastAsia="宋体" w:cs="宋体"/>
                <w:sz w:val="21"/>
                <w:szCs w:val="21"/>
              </w:rPr>
              <w:t>（提供公安部有效检测报告复印件并加盖投标人公章做为依据，原件备查）</w:t>
            </w:r>
            <w:r>
              <w:rPr>
                <w:rFonts w:hint="eastAsia" w:ascii="宋体" w:hAnsi="宋体" w:eastAsia="宋体" w:cs="宋体"/>
                <w:sz w:val="21"/>
                <w:szCs w:val="21"/>
                <w:lang w:val="en-US" w:eastAsia="zh-CN"/>
              </w:rPr>
              <w:t>。</w:t>
            </w:r>
          </w:p>
          <w:p w14:paraId="2357C887">
            <w:pPr>
              <w:spacing w:line="360" w:lineRule="exact"/>
              <w:ind w:right="105" w:rightChars="5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设备应</w:t>
            </w:r>
            <w:r>
              <w:rPr>
                <w:rFonts w:hint="eastAsia" w:ascii="宋体" w:hAnsi="宋体" w:eastAsia="宋体" w:cs="宋体"/>
                <w:sz w:val="21"/>
                <w:szCs w:val="21"/>
                <w:lang w:val="en-US" w:eastAsia="zh-CN"/>
              </w:rPr>
              <w:t>设置</w:t>
            </w:r>
            <w:r>
              <w:rPr>
                <w:rFonts w:hint="eastAsia" w:ascii="宋体" w:hAnsi="宋体" w:eastAsia="宋体" w:cs="宋体"/>
                <w:sz w:val="21"/>
                <w:szCs w:val="21"/>
              </w:rPr>
              <w:t>紧急停止开关，一旦紧急情况发生，能立即切断设备X射线产生装置和输送装置的供电电源。</w:t>
            </w:r>
            <w:r>
              <w:rPr>
                <w:rFonts w:hint="eastAsia" w:ascii="宋体" w:hAnsi="宋体" w:eastAsia="宋体" w:cs="宋体"/>
                <w:sz w:val="21"/>
                <w:szCs w:val="21"/>
                <w:lang w:val="en-US" w:eastAsia="zh-CN"/>
              </w:rPr>
              <w:t>满足得4分，否则0分。</w:t>
            </w:r>
            <w:r>
              <w:rPr>
                <w:rFonts w:hint="eastAsia" w:ascii="宋体" w:hAnsi="宋体" w:eastAsia="宋体" w:cs="宋体"/>
                <w:sz w:val="21"/>
                <w:szCs w:val="21"/>
              </w:rPr>
              <w:t>（提供公安部有效检测报告复印件并加盖投标人公章做为依据，原件备查）</w:t>
            </w:r>
            <w:r>
              <w:rPr>
                <w:rFonts w:hint="eastAsia" w:ascii="宋体" w:hAnsi="宋体" w:eastAsia="宋体" w:cs="宋体"/>
                <w:sz w:val="21"/>
                <w:szCs w:val="21"/>
                <w:lang w:val="en-US" w:eastAsia="zh-CN"/>
              </w:rPr>
              <w:t>。</w:t>
            </w:r>
            <w:bookmarkStart w:id="2" w:name="_GoBack"/>
            <w:bookmarkEnd w:id="2"/>
          </w:p>
          <w:p w14:paraId="02E5E202">
            <w:pPr>
              <w:spacing w:line="360" w:lineRule="exact"/>
              <w:ind w:right="105" w:rightChars="5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）设备应节能环保。当传送带上无行李物品时，设备的传送装置应自动停止。</w:t>
            </w:r>
            <w:r>
              <w:rPr>
                <w:rFonts w:hint="eastAsia" w:ascii="宋体" w:hAnsi="宋体" w:eastAsia="宋体" w:cs="宋体"/>
                <w:sz w:val="21"/>
                <w:szCs w:val="21"/>
                <w:lang w:val="en-US" w:eastAsia="zh-CN"/>
              </w:rPr>
              <w:t>满足得4分，否则0分。</w:t>
            </w:r>
            <w:r>
              <w:rPr>
                <w:rFonts w:hint="eastAsia" w:ascii="宋体" w:hAnsi="宋体" w:eastAsia="宋体" w:cs="宋体"/>
                <w:sz w:val="21"/>
                <w:szCs w:val="21"/>
              </w:rPr>
              <w:t>（提供公安部有效检测报告复印件并加盖投标人公章做为依据，原件备查）</w:t>
            </w:r>
            <w:r>
              <w:rPr>
                <w:rFonts w:hint="eastAsia" w:ascii="宋体" w:hAnsi="宋体" w:eastAsia="宋体" w:cs="宋体"/>
                <w:sz w:val="21"/>
                <w:szCs w:val="21"/>
                <w:lang w:val="en-US" w:eastAsia="zh-CN"/>
              </w:rPr>
              <w:t>。</w:t>
            </w:r>
          </w:p>
          <w:p w14:paraId="52F5106D">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二、安检门：</w:t>
            </w:r>
          </w:p>
          <w:p w14:paraId="5EA1255A">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lang w:val="en-US" w:eastAsia="zh-CN"/>
              </w:rPr>
              <w:t>（1）安检门</w:t>
            </w:r>
            <w:r>
              <w:rPr>
                <w:rFonts w:hint="eastAsia" w:ascii="宋体" w:hAnsi="宋体" w:eastAsia="宋体" w:cs="宋体"/>
                <w:sz w:val="21"/>
                <w:szCs w:val="21"/>
              </w:rPr>
              <w:t>报警声音：声压≥100dB（A）;提供产品公安部安全防范报警系统产品质量监督检验测试中心检测报告(复印件加盖</w:t>
            </w:r>
            <w:r>
              <w:rPr>
                <w:rFonts w:hint="eastAsia" w:ascii="宋体" w:hAnsi="宋体" w:eastAsia="宋体" w:cs="宋体"/>
                <w:sz w:val="21"/>
                <w:szCs w:val="21"/>
                <w:lang w:eastAsia="zh-CN"/>
              </w:rPr>
              <w:t>制造商</w:t>
            </w:r>
            <w:r>
              <w:rPr>
                <w:rFonts w:hint="eastAsia" w:ascii="宋体" w:hAnsi="宋体" w:eastAsia="宋体" w:cs="宋体"/>
                <w:sz w:val="21"/>
                <w:szCs w:val="21"/>
              </w:rPr>
              <w:t>公章</w:t>
            </w:r>
            <w:r>
              <w:rPr>
                <w:rFonts w:hint="eastAsia" w:ascii="宋体" w:hAnsi="宋体" w:eastAsia="宋体" w:cs="宋体"/>
                <w:sz w:val="21"/>
                <w:szCs w:val="21"/>
                <w:lang w:eastAsia="zh-CN"/>
              </w:rPr>
              <w:t>，</w:t>
            </w:r>
            <w:r>
              <w:rPr>
                <w:rFonts w:hint="eastAsia" w:ascii="宋体" w:hAnsi="宋体" w:eastAsia="宋体" w:cs="宋体"/>
                <w:sz w:val="21"/>
                <w:szCs w:val="21"/>
              </w:rPr>
              <w:t>未提供的作无效处理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满足得4分，否则O分。</w:t>
            </w:r>
          </w:p>
          <w:p w14:paraId="77548207">
            <w:pPr>
              <w:spacing w:line="360" w:lineRule="exact"/>
              <w:ind w:right="105" w:rightChars="50"/>
              <w:rPr>
                <w:rFonts w:hint="eastAsia" w:ascii="宋体" w:hAnsi="宋体" w:eastAsia="宋体" w:cs="宋体"/>
                <w:sz w:val="21"/>
                <w:szCs w:val="21"/>
                <w:lang w:eastAsia="zh-CN"/>
              </w:rPr>
            </w:pPr>
            <w:r>
              <w:rPr>
                <w:rFonts w:hint="eastAsia" w:ascii="宋体" w:hAnsi="宋体" w:eastAsia="宋体" w:cs="宋体"/>
                <w:sz w:val="21"/>
                <w:szCs w:val="21"/>
                <w:lang w:val="en-US" w:eastAsia="zh-CN"/>
              </w:rPr>
              <w:t>（2）安检门</w:t>
            </w:r>
            <w:r>
              <w:rPr>
                <w:rFonts w:hint="eastAsia" w:ascii="宋体" w:hAnsi="宋体" w:eastAsia="宋体" w:cs="宋体"/>
                <w:sz w:val="21"/>
                <w:szCs w:val="21"/>
              </w:rPr>
              <w:t>场景模式设置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不小于70</w:t>
            </w:r>
            <w:r>
              <w:rPr>
                <w:rFonts w:hint="eastAsia" w:ascii="宋体" w:hAnsi="宋体" w:eastAsia="宋体" w:cs="宋体"/>
                <w:sz w:val="21"/>
                <w:szCs w:val="21"/>
              </w:rPr>
              <w:t xml:space="preserve"> 种场景模式</w:t>
            </w:r>
            <w:r>
              <w:rPr>
                <w:rFonts w:hint="eastAsia" w:ascii="宋体" w:hAnsi="宋体" w:eastAsia="宋体" w:cs="宋体"/>
                <w:sz w:val="21"/>
                <w:szCs w:val="21"/>
                <w:lang w:eastAsia="zh-CN"/>
              </w:rPr>
              <w:t>，</w:t>
            </w:r>
            <w:r>
              <w:rPr>
                <w:rFonts w:hint="eastAsia" w:ascii="宋体" w:hAnsi="宋体" w:eastAsia="宋体" w:cs="宋体"/>
                <w:sz w:val="21"/>
                <w:szCs w:val="21"/>
              </w:rPr>
              <w:t>提供产品公安部安全防范报警系统产品质量监督检验测试中心检测报告(复印件加盖</w:t>
            </w:r>
            <w:r>
              <w:rPr>
                <w:rFonts w:hint="eastAsia" w:ascii="宋体" w:hAnsi="宋体" w:eastAsia="宋体" w:cs="宋体"/>
                <w:sz w:val="21"/>
                <w:szCs w:val="21"/>
                <w:lang w:eastAsia="zh-CN"/>
              </w:rPr>
              <w:t>制造商</w:t>
            </w:r>
            <w:r>
              <w:rPr>
                <w:rFonts w:hint="eastAsia" w:ascii="宋体" w:hAnsi="宋体" w:eastAsia="宋体" w:cs="宋体"/>
                <w:sz w:val="21"/>
                <w:szCs w:val="21"/>
              </w:rPr>
              <w:t>公章</w:t>
            </w:r>
            <w:r>
              <w:rPr>
                <w:rFonts w:hint="eastAsia" w:ascii="宋体" w:hAnsi="宋体" w:eastAsia="宋体" w:cs="宋体"/>
                <w:sz w:val="21"/>
                <w:szCs w:val="21"/>
                <w:lang w:eastAsia="zh-CN"/>
              </w:rPr>
              <w:t>，</w:t>
            </w:r>
            <w:r>
              <w:rPr>
                <w:rFonts w:hint="eastAsia" w:ascii="宋体" w:hAnsi="宋体" w:eastAsia="宋体" w:cs="宋体"/>
                <w:sz w:val="21"/>
                <w:szCs w:val="21"/>
              </w:rPr>
              <w:t>未提供的作无效处理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满足得4分，否则O分。</w:t>
            </w:r>
          </w:p>
          <w:p w14:paraId="4A6F3E62">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（3）安检门要具有小金属自动排除功能，有效减少误报，提高安检通过率，可探测到一枚回形针大小的金属或一角硬币。满足得4分，否则0分。（需提供相关系统功能的证明材料）。</w:t>
            </w:r>
          </w:p>
          <w:p w14:paraId="1E9148CA">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三、液体检测仪：</w:t>
            </w:r>
          </w:p>
          <w:p w14:paraId="2D01DB63">
            <w:pPr>
              <w:spacing w:line="360" w:lineRule="exact"/>
              <w:ind w:right="105" w:rightChars="50"/>
              <w:rPr>
                <w:rFonts w:hint="default"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highlight w:val="none"/>
                <w:lang w:val="en-US" w:eastAsia="zh-CN"/>
              </w:rPr>
              <w:t>仪器在发生报警后应能自动复位，以便进行下一次检测。</w:t>
            </w:r>
            <w:r>
              <w:rPr>
                <w:rFonts w:hint="eastAsia" w:ascii="宋体" w:hAnsi="宋体" w:eastAsia="宋体" w:cs="宋体"/>
                <w:sz w:val="21"/>
                <w:szCs w:val="21"/>
                <w:lang w:val="en-US" w:eastAsia="zh-CN"/>
              </w:rPr>
              <w:t>满足得4分，否则O分。</w:t>
            </w:r>
          </w:p>
          <w:p w14:paraId="6272B926">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（2）液体检测仪</w:t>
            </w:r>
            <w:r>
              <w:rPr>
                <w:rFonts w:hint="eastAsia" w:ascii="宋体" w:hAnsi="宋体" w:eastAsia="宋体" w:cs="宋体"/>
                <w:sz w:val="21"/>
                <w:szCs w:val="21"/>
              </w:rPr>
              <w:t>检测速度快</w:t>
            </w:r>
            <w:r>
              <w:rPr>
                <w:rFonts w:hint="eastAsia" w:ascii="宋体" w:hAnsi="宋体" w:eastAsia="宋体" w:cs="宋体"/>
                <w:sz w:val="21"/>
                <w:szCs w:val="21"/>
                <w:lang w:eastAsia="zh-CN"/>
              </w:rPr>
              <w:t>，</w:t>
            </w:r>
            <w:r>
              <w:rPr>
                <w:rFonts w:hint="eastAsia" w:ascii="宋体" w:hAnsi="宋体" w:eastAsia="宋体" w:cs="宋体"/>
                <w:sz w:val="21"/>
                <w:szCs w:val="21"/>
              </w:rPr>
              <w:t>绝缘容器（塑料、玻璃、陶瓷容器）：≤1秒</w:t>
            </w:r>
            <w:r>
              <w:rPr>
                <w:rFonts w:hint="eastAsia" w:ascii="宋体" w:hAnsi="宋体" w:eastAsia="宋体" w:cs="宋体"/>
                <w:sz w:val="21"/>
                <w:szCs w:val="21"/>
                <w:lang w:eastAsia="zh-CN"/>
              </w:rPr>
              <w:t>，金属容器</w:t>
            </w:r>
            <w:r>
              <w:rPr>
                <w:rFonts w:hint="eastAsia" w:ascii="宋体" w:hAnsi="宋体" w:eastAsia="宋体" w:cs="宋体"/>
                <w:sz w:val="21"/>
                <w:szCs w:val="21"/>
              </w:rPr>
              <w:t>：≤7.4秒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需在公安部检验报告中体现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满足得4分，否则O分。</w:t>
            </w:r>
          </w:p>
        </w:tc>
        <w:tc>
          <w:tcPr>
            <w:tcW w:w="744" w:type="dxa"/>
            <w:vAlign w:val="center"/>
          </w:tcPr>
          <w:p w14:paraId="43A1F39F">
            <w:pPr>
              <w:spacing w:line="360" w:lineRule="exact"/>
              <w:ind w:right="105" w:rightChars="50"/>
              <w:rPr>
                <w:rFonts w:hint="eastAsia" w:ascii="宋体" w:hAnsi="宋体" w:eastAsia="宋体" w:cs="宋体"/>
                <w:sz w:val="21"/>
                <w:szCs w:val="21"/>
              </w:rPr>
            </w:pPr>
          </w:p>
        </w:tc>
      </w:tr>
      <w:tr w14:paraId="676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04" w:type="dxa"/>
            <w:vMerge w:val="continue"/>
            <w:vAlign w:val="center"/>
          </w:tcPr>
          <w:p w14:paraId="3910CB94">
            <w:pPr>
              <w:spacing w:line="360" w:lineRule="exact"/>
              <w:ind w:right="105" w:rightChars="50"/>
              <w:jc w:val="center"/>
              <w:rPr>
                <w:rFonts w:hint="eastAsia" w:ascii="宋体" w:hAnsi="宋体" w:eastAsia="宋体" w:cs="宋体"/>
                <w:sz w:val="21"/>
                <w:szCs w:val="21"/>
              </w:rPr>
            </w:pPr>
          </w:p>
        </w:tc>
        <w:tc>
          <w:tcPr>
            <w:tcW w:w="1177" w:type="dxa"/>
            <w:vMerge w:val="continue"/>
            <w:vAlign w:val="center"/>
          </w:tcPr>
          <w:p w14:paraId="47CA0268">
            <w:pPr>
              <w:spacing w:line="360" w:lineRule="exact"/>
              <w:ind w:right="105" w:rightChars="50"/>
              <w:jc w:val="center"/>
              <w:rPr>
                <w:rFonts w:hint="eastAsia" w:ascii="宋体" w:hAnsi="宋体" w:eastAsia="宋体" w:cs="宋体"/>
                <w:sz w:val="21"/>
                <w:szCs w:val="21"/>
              </w:rPr>
            </w:pPr>
          </w:p>
        </w:tc>
        <w:tc>
          <w:tcPr>
            <w:tcW w:w="753" w:type="dxa"/>
            <w:vAlign w:val="center"/>
          </w:tcPr>
          <w:p w14:paraId="322D27D5">
            <w:pPr>
              <w:spacing w:line="360" w:lineRule="exact"/>
              <w:ind w:right="105"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450" w:type="dxa"/>
            <w:vAlign w:val="center"/>
          </w:tcPr>
          <w:p w14:paraId="04D893E4">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rPr>
              <w:t>根据投标人提供的针对本项目的</w:t>
            </w:r>
            <w:r>
              <w:rPr>
                <w:rFonts w:hint="eastAsia" w:ascii="宋体" w:hAnsi="宋体" w:eastAsia="宋体" w:cs="宋体"/>
                <w:sz w:val="21"/>
                <w:szCs w:val="21"/>
                <w:lang w:val="en-US" w:eastAsia="zh-CN"/>
              </w:rPr>
              <w:t>培训计划及内容进行评价，详细且具有可操作性得5分，</w:t>
            </w:r>
            <w:r>
              <w:rPr>
                <w:rFonts w:hint="eastAsia" w:ascii="宋体" w:hAnsi="宋体" w:eastAsia="宋体" w:cs="宋体"/>
                <w:sz w:val="21"/>
                <w:szCs w:val="21"/>
              </w:rPr>
              <w:t>未提供方案或方案不能满足服务需求的不得分。</w:t>
            </w:r>
          </w:p>
        </w:tc>
        <w:tc>
          <w:tcPr>
            <w:tcW w:w="744" w:type="dxa"/>
            <w:vAlign w:val="center"/>
          </w:tcPr>
          <w:p w14:paraId="12CB60EA">
            <w:pPr>
              <w:spacing w:line="360" w:lineRule="exact"/>
              <w:ind w:right="105" w:rightChars="50"/>
              <w:rPr>
                <w:rFonts w:hint="eastAsia" w:ascii="宋体" w:hAnsi="宋体" w:eastAsia="宋体" w:cs="宋体"/>
                <w:sz w:val="21"/>
                <w:szCs w:val="21"/>
              </w:rPr>
            </w:pPr>
          </w:p>
        </w:tc>
      </w:tr>
      <w:tr w14:paraId="242C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04" w:type="dxa"/>
            <w:vMerge w:val="restart"/>
            <w:vAlign w:val="center"/>
          </w:tcPr>
          <w:p w14:paraId="25BC7AC6">
            <w:pPr>
              <w:spacing w:line="360" w:lineRule="exact"/>
              <w:ind w:right="105" w:rightChars="50"/>
              <w:jc w:val="center"/>
              <w:rPr>
                <w:rFonts w:hint="eastAsia" w:ascii="宋体" w:hAnsi="宋体" w:eastAsia="宋体" w:cs="宋体"/>
                <w:sz w:val="21"/>
                <w:szCs w:val="21"/>
                <w:lang w:val="en-US" w:eastAsia="zh-CN"/>
              </w:rPr>
            </w:pPr>
            <w:r>
              <w:rPr>
                <w:rFonts w:hint="eastAsia" w:ascii="宋体" w:hAnsi="宋体" w:eastAsia="宋体" w:cs="宋体"/>
                <w:sz w:val="21"/>
                <w:szCs w:val="21"/>
              </w:rPr>
              <w:t>商务部分2</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1177" w:type="dxa"/>
            <w:vAlign w:val="center"/>
          </w:tcPr>
          <w:p w14:paraId="610B4287">
            <w:pPr>
              <w:spacing w:line="360" w:lineRule="exact"/>
              <w:ind w:right="105" w:rightChars="50"/>
              <w:jc w:val="center"/>
              <w:rPr>
                <w:rFonts w:hint="eastAsia" w:ascii="宋体" w:hAnsi="宋体" w:eastAsia="宋体" w:cs="宋体"/>
                <w:sz w:val="21"/>
                <w:szCs w:val="21"/>
                <w:lang w:val="en-US" w:eastAsia="zh-CN"/>
              </w:rPr>
            </w:pPr>
            <w:r>
              <w:rPr>
                <w:rFonts w:hint="eastAsia" w:ascii="宋体" w:hAnsi="宋体" w:eastAsia="宋体" w:cs="宋体"/>
                <w:sz w:val="21"/>
                <w:szCs w:val="21"/>
              </w:rPr>
              <w:t>业绩</w:t>
            </w:r>
            <w:r>
              <w:rPr>
                <w:rFonts w:hint="eastAsia" w:ascii="宋体" w:hAnsi="宋体" w:eastAsia="宋体" w:cs="宋体"/>
                <w:sz w:val="21"/>
                <w:szCs w:val="21"/>
                <w:lang w:val="en-US" w:eastAsia="zh-CN"/>
              </w:rPr>
              <w:t>证明</w:t>
            </w:r>
          </w:p>
        </w:tc>
        <w:tc>
          <w:tcPr>
            <w:tcW w:w="753" w:type="dxa"/>
            <w:vAlign w:val="center"/>
          </w:tcPr>
          <w:p w14:paraId="4865B8DD">
            <w:pPr>
              <w:spacing w:line="360" w:lineRule="exact"/>
              <w:ind w:right="105"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450" w:type="dxa"/>
            <w:vAlign w:val="center"/>
          </w:tcPr>
          <w:p w14:paraId="62F29D6E">
            <w:pPr>
              <w:spacing w:line="360" w:lineRule="exact"/>
              <w:ind w:right="105" w:rightChars="50"/>
              <w:rPr>
                <w:rFonts w:hint="eastAsia" w:ascii="宋体" w:hAnsi="宋体" w:eastAsia="宋体" w:cs="宋体"/>
                <w:sz w:val="21"/>
                <w:szCs w:val="21"/>
                <w:highlight w:val="yellow"/>
              </w:rPr>
            </w:pPr>
            <w:r>
              <w:rPr>
                <w:rFonts w:hint="eastAsia" w:ascii="宋体" w:hAnsi="宋体" w:eastAsia="宋体" w:cs="宋体"/>
                <w:sz w:val="21"/>
                <w:szCs w:val="21"/>
                <w:highlight w:val="none"/>
              </w:rPr>
              <w:t>近三年内有</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个及以上类似规模医院</w:t>
            </w:r>
            <w:r>
              <w:rPr>
                <w:rFonts w:hint="eastAsia" w:ascii="宋体" w:hAnsi="宋体" w:eastAsia="宋体" w:cs="宋体"/>
                <w:sz w:val="21"/>
                <w:szCs w:val="21"/>
                <w:highlight w:val="none"/>
                <w:lang w:val="en-US" w:eastAsia="zh-CN"/>
              </w:rPr>
              <w:t>安检</w:t>
            </w:r>
            <w:r>
              <w:rPr>
                <w:rFonts w:hint="eastAsia" w:ascii="宋体" w:hAnsi="宋体" w:eastAsia="宋体" w:cs="宋体"/>
                <w:sz w:val="21"/>
                <w:szCs w:val="21"/>
                <w:highlight w:val="none"/>
              </w:rPr>
              <w:t>项目成功案例，得 10 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没有类似项目业绩，得0分。</w:t>
            </w:r>
          </w:p>
        </w:tc>
        <w:tc>
          <w:tcPr>
            <w:tcW w:w="744" w:type="dxa"/>
            <w:vAlign w:val="center"/>
          </w:tcPr>
          <w:p w14:paraId="17B6C7BA">
            <w:pPr>
              <w:spacing w:line="360" w:lineRule="exact"/>
              <w:ind w:right="105" w:rightChars="50"/>
              <w:rPr>
                <w:rFonts w:hint="eastAsia" w:ascii="宋体" w:hAnsi="宋体" w:eastAsia="宋体" w:cs="宋体"/>
                <w:sz w:val="21"/>
                <w:szCs w:val="21"/>
              </w:rPr>
            </w:pPr>
          </w:p>
        </w:tc>
      </w:tr>
      <w:tr w14:paraId="0397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04" w:type="dxa"/>
            <w:vMerge w:val="continue"/>
            <w:vAlign w:val="center"/>
          </w:tcPr>
          <w:p w14:paraId="3D3D4073">
            <w:pPr>
              <w:spacing w:line="360" w:lineRule="exact"/>
              <w:ind w:right="105" w:rightChars="50"/>
              <w:jc w:val="center"/>
              <w:rPr>
                <w:rFonts w:hint="eastAsia" w:ascii="宋体" w:hAnsi="宋体" w:eastAsia="宋体" w:cs="宋体"/>
                <w:sz w:val="21"/>
                <w:szCs w:val="21"/>
              </w:rPr>
            </w:pPr>
          </w:p>
        </w:tc>
        <w:tc>
          <w:tcPr>
            <w:tcW w:w="1177" w:type="dxa"/>
            <w:vAlign w:val="center"/>
          </w:tcPr>
          <w:p w14:paraId="1CDC5A3B">
            <w:pPr>
              <w:spacing w:line="360" w:lineRule="exact"/>
              <w:ind w:right="105" w:rightChars="5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服务响应</w:t>
            </w:r>
          </w:p>
        </w:tc>
        <w:tc>
          <w:tcPr>
            <w:tcW w:w="753" w:type="dxa"/>
            <w:vAlign w:val="center"/>
          </w:tcPr>
          <w:p w14:paraId="310B8646">
            <w:pPr>
              <w:spacing w:line="360" w:lineRule="exact"/>
              <w:ind w:right="105" w:rightChars="5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450" w:type="dxa"/>
            <w:vAlign w:val="center"/>
          </w:tcPr>
          <w:p w14:paraId="424E8295">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根据投标人承诺的服务响应时间进行评价：承诺接到采购人工作人员报修后，</w:t>
            </w:r>
            <w:r>
              <w:rPr>
                <w:rFonts w:hint="eastAsia" w:ascii="宋体" w:hAnsi="宋体" w:eastAsia="宋体" w:cs="宋体"/>
                <w:sz w:val="21"/>
                <w:szCs w:val="21"/>
                <w:lang w:val="en-US" w:eastAsia="zh-CN"/>
              </w:rPr>
              <w:t>1小时</w:t>
            </w:r>
            <w:r>
              <w:rPr>
                <w:rFonts w:hint="eastAsia" w:ascii="宋体" w:hAnsi="宋体" w:eastAsia="宋体" w:cs="宋体"/>
                <w:sz w:val="21"/>
                <w:szCs w:val="21"/>
              </w:rPr>
              <w:t>之内到达现场，并在</w:t>
            </w:r>
            <w:r>
              <w:rPr>
                <w:rFonts w:hint="eastAsia" w:ascii="宋体" w:hAnsi="宋体" w:eastAsia="宋体" w:cs="宋体"/>
                <w:sz w:val="21"/>
                <w:szCs w:val="21"/>
                <w:lang w:val="en-US" w:eastAsia="zh-CN"/>
              </w:rPr>
              <w:t>2个小时</w:t>
            </w:r>
            <w:r>
              <w:rPr>
                <w:rFonts w:hint="eastAsia" w:ascii="宋体" w:hAnsi="宋体" w:eastAsia="宋体" w:cs="宋体"/>
                <w:sz w:val="21"/>
                <w:szCs w:val="21"/>
              </w:rPr>
              <w:t>之内修复完毕。若故障无法修复，</w:t>
            </w:r>
            <w:r>
              <w:rPr>
                <w:rFonts w:hint="eastAsia" w:ascii="宋体" w:hAnsi="宋体" w:eastAsia="宋体" w:cs="宋体"/>
                <w:sz w:val="21"/>
                <w:szCs w:val="21"/>
                <w:lang w:val="en-US" w:eastAsia="zh-CN"/>
              </w:rPr>
              <w:t>需24小时内</w:t>
            </w:r>
            <w:r>
              <w:rPr>
                <w:rFonts w:hint="eastAsia" w:ascii="宋体" w:hAnsi="宋体" w:eastAsia="宋体" w:cs="宋体"/>
                <w:sz w:val="21"/>
                <w:szCs w:val="21"/>
              </w:rPr>
              <w:t>更换同等或更高性能的新设备，保障</w:t>
            </w:r>
            <w:r>
              <w:rPr>
                <w:rFonts w:hint="eastAsia" w:ascii="宋体" w:hAnsi="宋体" w:eastAsia="宋体" w:cs="宋体"/>
                <w:sz w:val="21"/>
                <w:szCs w:val="21"/>
                <w:lang w:val="en-US" w:eastAsia="zh-CN"/>
              </w:rPr>
              <w:t>设备</w:t>
            </w:r>
            <w:r>
              <w:rPr>
                <w:rFonts w:hint="eastAsia" w:ascii="宋体" w:hAnsi="宋体" w:eastAsia="宋体" w:cs="宋体"/>
                <w:sz w:val="21"/>
                <w:szCs w:val="21"/>
              </w:rPr>
              <w:t>不中断。投标人须对此作出书面承诺并加盖投标人公章，否则不得分。</w:t>
            </w:r>
          </w:p>
        </w:tc>
        <w:tc>
          <w:tcPr>
            <w:tcW w:w="744" w:type="dxa"/>
            <w:vAlign w:val="center"/>
          </w:tcPr>
          <w:p w14:paraId="58A971C0">
            <w:pPr>
              <w:spacing w:line="360" w:lineRule="exact"/>
              <w:ind w:right="105" w:rightChars="50"/>
              <w:rPr>
                <w:rFonts w:hint="eastAsia" w:ascii="宋体" w:hAnsi="宋体" w:eastAsia="宋体" w:cs="宋体"/>
                <w:sz w:val="21"/>
                <w:szCs w:val="21"/>
              </w:rPr>
            </w:pPr>
          </w:p>
        </w:tc>
      </w:tr>
      <w:tr w14:paraId="4C89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04" w:type="dxa"/>
            <w:vMerge w:val="continue"/>
            <w:vAlign w:val="center"/>
          </w:tcPr>
          <w:p w14:paraId="32BF75D2">
            <w:pPr>
              <w:spacing w:line="360" w:lineRule="exact"/>
              <w:ind w:right="105" w:rightChars="50"/>
              <w:jc w:val="center"/>
              <w:rPr>
                <w:rFonts w:hint="eastAsia" w:ascii="宋体" w:hAnsi="宋体" w:eastAsia="宋体" w:cs="宋体"/>
                <w:sz w:val="21"/>
                <w:szCs w:val="21"/>
              </w:rPr>
            </w:pPr>
          </w:p>
        </w:tc>
        <w:tc>
          <w:tcPr>
            <w:tcW w:w="1177" w:type="dxa"/>
            <w:vAlign w:val="center"/>
          </w:tcPr>
          <w:p w14:paraId="5F65183B">
            <w:pPr>
              <w:spacing w:line="360" w:lineRule="exact"/>
              <w:ind w:right="105" w:right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w:t>
            </w:r>
          </w:p>
        </w:tc>
        <w:tc>
          <w:tcPr>
            <w:tcW w:w="753" w:type="dxa"/>
            <w:vAlign w:val="center"/>
          </w:tcPr>
          <w:p w14:paraId="2EDEC693">
            <w:pPr>
              <w:spacing w:line="360" w:lineRule="exact"/>
              <w:ind w:right="105" w:rightChars="5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450" w:type="dxa"/>
            <w:vAlign w:val="center"/>
          </w:tcPr>
          <w:p w14:paraId="702097EB">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根据投标人质量保证期的承诺进行评价：质量保证期满足招标文件要求（</w:t>
            </w:r>
            <w:r>
              <w:rPr>
                <w:rFonts w:hint="eastAsia" w:ascii="宋体" w:hAnsi="宋体" w:eastAsia="宋体" w:cs="宋体"/>
                <w:sz w:val="21"/>
                <w:szCs w:val="21"/>
                <w:lang w:val="en-US" w:eastAsia="zh-CN"/>
              </w:rPr>
              <w:t>2</w:t>
            </w:r>
            <w:r>
              <w:rPr>
                <w:rFonts w:hint="eastAsia" w:ascii="宋体" w:hAnsi="宋体" w:eastAsia="宋体" w:cs="宋体"/>
                <w:sz w:val="21"/>
                <w:szCs w:val="21"/>
              </w:rPr>
              <w:t>年）的基础上，每增加一年加</w:t>
            </w:r>
            <w:r>
              <w:rPr>
                <w:rFonts w:hint="eastAsia" w:ascii="宋体" w:hAnsi="宋体" w:eastAsia="宋体" w:cs="宋体"/>
                <w:sz w:val="21"/>
                <w:szCs w:val="21"/>
                <w:lang w:val="en-US" w:eastAsia="zh-CN"/>
              </w:rPr>
              <w:t>2</w:t>
            </w:r>
            <w:r>
              <w:rPr>
                <w:rFonts w:hint="eastAsia" w:ascii="宋体" w:hAnsi="宋体" w:eastAsia="宋体" w:cs="宋体"/>
                <w:sz w:val="21"/>
                <w:szCs w:val="21"/>
              </w:rPr>
              <w:t>分，满分</w:t>
            </w:r>
            <w:r>
              <w:rPr>
                <w:rFonts w:hint="eastAsia" w:ascii="宋体" w:hAnsi="宋体" w:eastAsia="宋体" w:cs="宋体"/>
                <w:sz w:val="21"/>
                <w:szCs w:val="21"/>
                <w:lang w:val="en-US" w:eastAsia="zh-CN"/>
              </w:rPr>
              <w:t>10</w:t>
            </w:r>
            <w:r>
              <w:rPr>
                <w:rFonts w:hint="eastAsia" w:ascii="宋体" w:hAnsi="宋体" w:eastAsia="宋体" w:cs="宋体"/>
                <w:sz w:val="21"/>
                <w:szCs w:val="21"/>
              </w:rPr>
              <w:t>分。投标人须提供相应的书面承诺并盖公章，否则不得分。</w:t>
            </w:r>
          </w:p>
        </w:tc>
        <w:tc>
          <w:tcPr>
            <w:tcW w:w="744" w:type="dxa"/>
            <w:vAlign w:val="center"/>
          </w:tcPr>
          <w:p w14:paraId="1E44B6D7">
            <w:pPr>
              <w:spacing w:line="360" w:lineRule="exact"/>
              <w:ind w:right="105" w:rightChars="50"/>
              <w:rPr>
                <w:rFonts w:hint="eastAsia" w:ascii="宋体" w:hAnsi="宋体" w:eastAsia="宋体" w:cs="宋体"/>
                <w:sz w:val="21"/>
                <w:szCs w:val="21"/>
              </w:rPr>
            </w:pPr>
          </w:p>
        </w:tc>
      </w:tr>
      <w:tr w14:paraId="08DE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04" w:type="dxa"/>
            <w:vAlign w:val="center"/>
          </w:tcPr>
          <w:p w14:paraId="0ECDA4F1">
            <w:pPr>
              <w:spacing w:line="360" w:lineRule="exact"/>
              <w:ind w:right="105" w:rightChars="50"/>
              <w:jc w:val="center"/>
              <w:rPr>
                <w:rFonts w:hint="eastAsia" w:ascii="宋体" w:hAnsi="宋体" w:eastAsia="宋体" w:cs="宋体"/>
                <w:sz w:val="21"/>
                <w:szCs w:val="21"/>
              </w:rPr>
            </w:pPr>
            <w:r>
              <w:rPr>
                <w:rFonts w:hint="eastAsia" w:ascii="宋体" w:hAnsi="宋体" w:eastAsia="宋体" w:cs="宋体"/>
                <w:sz w:val="21"/>
                <w:szCs w:val="21"/>
              </w:rPr>
              <w:t>报价部分3</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1177" w:type="dxa"/>
            <w:vAlign w:val="center"/>
          </w:tcPr>
          <w:p w14:paraId="6CCD4360">
            <w:pPr>
              <w:spacing w:line="360" w:lineRule="exact"/>
              <w:ind w:right="105" w:rightChars="50"/>
              <w:jc w:val="center"/>
              <w:rPr>
                <w:rFonts w:hint="eastAsia" w:ascii="宋体" w:hAnsi="宋体" w:eastAsia="宋体" w:cs="宋体"/>
                <w:sz w:val="21"/>
                <w:szCs w:val="21"/>
              </w:rPr>
            </w:pPr>
            <w:r>
              <w:rPr>
                <w:rFonts w:hint="eastAsia" w:ascii="宋体" w:hAnsi="宋体" w:eastAsia="宋体" w:cs="宋体"/>
                <w:sz w:val="21"/>
                <w:szCs w:val="21"/>
              </w:rPr>
              <w:t>响应报价</w:t>
            </w:r>
          </w:p>
        </w:tc>
        <w:tc>
          <w:tcPr>
            <w:tcW w:w="753" w:type="dxa"/>
            <w:vAlign w:val="center"/>
          </w:tcPr>
          <w:p w14:paraId="56BF2A7C">
            <w:pPr>
              <w:spacing w:line="360" w:lineRule="exact"/>
              <w:ind w:right="105" w:rightChars="50"/>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p>
        </w:tc>
        <w:tc>
          <w:tcPr>
            <w:tcW w:w="6450" w:type="dxa"/>
            <w:vAlign w:val="center"/>
          </w:tcPr>
          <w:p w14:paraId="2D21C000">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rPr>
              <w:t>响应报价最后得分＝P/T×3</w:t>
            </w:r>
            <w:r>
              <w:rPr>
                <w:rFonts w:hint="eastAsia" w:ascii="宋体" w:hAnsi="宋体" w:eastAsia="宋体" w:cs="宋体"/>
                <w:sz w:val="21"/>
                <w:szCs w:val="21"/>
                <w:lang w:val="en-US" w:eastAsia="zh-CN"/>
              </w:rPr>
              <w:t>0</w:t>
            </w:r>
          </w:p>
          <w:p w14:paraId="01FDA6E9">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其中P为有效响应人响应报价的最低价，T为各响应人的响应价格。</w:t>
            </w:r>
          </w:p>
          <w:p w14:paraId="567B3901">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注：计算结果按四舍五入法则，保留小数点后两位。</w:t>
            </w:r>
          </w:p>
        </w:tc>
        <w:tc>
          <w:tcPr>
            <w:tcW w:w="744" w:type="dxa"/>
            <w:vAlign w:val="center"/>
          </w:tcPr>
          <w:p w14:paraId="57E16EE6">
            <w:pPr>
              <w:spacing w:line="360" w:lineRule="exact"/>
              <w:ind w:right="105" w:rightChars="50"/>
              <w:rPr>
                <w:rFonts w:hint="eastAsia" w:ascii="宋体" w:hAnsi="宋体" w:eastAsia="宋体" w:cs="宋体"/>
                <w:sz w:val="21"/>
                <w:szCs w:val="21"/>
              </w:rPr>
            </w:pPr>
          </w:p>
        </w:tc>
      </w:tr>
    </w:tbl>
    <w:p w14:paraId="0A47D510">
      <w:pPr>
        <w:spacing w:line="360" w:lineRule="exact"/>
        <w:ind w:right="105" w:rightChars="5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E4193C-95D5-4180-9C7E-8EDD8D3EBA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8CF82F-807F-42C0-BCBA-AA759E86C4AE}"/>
  </w:font>
  <w:font w:name="方正小标宋简体">
    <w:panose1 w:val="02000000000000000000"/>
    <w:charset w:val="86"/>
    <w:family w:val="auto"/>
    <w:pitch w:val="default"/>
    <w:sig w:usb0="00000001" w:usb1="08000000" w:usb2="00000000" w:usb3="00000000" w:csb0="00040000" w:csb1="00000000"/>
    <w:embedRegular r:id="rId3" w:fontKey="{5EAF0168-1A08-4530-AAA9-4823E2DCBB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OTJjZjU4YzQyNGIzYWFmMzhmNjhiZjgxNzk0NDMifQ=="/>
  </w:docVars>
  <w:rsids>
    <w:rsidRoot w:val="122E7B7E"/>
    <w:rsid w:val="00006F0F"/>
    <w:rsid w:val="0001610F"/>
    <w:rsid w:val="001818D5"/>
    <w:rsid w:val="00291CFC"/>
    <w:rsid w:val="00296E67"/>
    <w:rsid w:val="00297E39"/>
    <w:rsid w:val="00301729"/>
    <w:rsid w:val="00467C5D"/>
    <w:rsid w:val="00751A67"/>
    <w:rsid w:val="008F314F"/>
    <w:rsid w:val="00923D5E"/>
    <w:rsid w:val="00953284"/>
    <w:rsid w:val="00957854"/>
    <w:rsid w:val="009D3A1C"/>
    <w:rsid w:val="00A546FB"/>
    <w:rsid w:val="00A87637"/>
    <w:rsid w:val="00AF12AD"/>
    <w:rsid w:val="00B3312B"/>
    <w:rsid w:val="00B618AC"/>
    <w:rsid w:val="00BB3335"/>
    <w:rsid w:val="00C70323"/>
    <w:rsid w:val="00CB168C"/>
    <w:rsid w:val="00CD5204"/>
    <w:rsid w:val="00CF618D"/>
    <w:rsid w:val="00CF7EC1"/>
    <w:rsid w:val="00D27F46"/>
    <w:rsid w:val="00D46E5E"/>
    <w:rsid w:val="00DA5F81"/>
    <w:rsid w:val="00F119A7"/>
    <w:rsid w:val="00F60F59"/>
    <w:rsid w:val="122E7B7E"/>
    <w:rsid w:val="186D0D35"/>
    <w:rsid w:val="1C5F4DEE"/>
    <w:rsid w:val="279B1BD3"/>
    <w:rsid w:val="29E138EC"/>
    <w:rsid w:val="3BE92126"/>
    <w:rsid w:val="63C67AA8"/>
    <w:rsid w:val="64532C7F"/>
    <w:rsid w:val="77C3210C"/>
    <w:rsid w:val="77F0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sz w:val="24"/>
    </w:rPr>
  </w:style>
  <w:style w:type="paragraph" w:styleId="4">
    <w:name w:val="Body Text"/>
    <w:basedOn w:val="1"/>
    <w:next w:val="5"/>
    <w:qFormat/>
    <w:uiPriority w:val="0"/>
    <w:pPr>
      <w:spacing w:after="120"/>
    </w:pPr>
  </w:style>
  <w:style w:type="paragraph" w:styleId="5">
    <w:name w:val="toc 9"/>
    <w:basedOn w:val="1"/>
    <w:next w:val="1"/>
    <w:qFormat/>
    <w:uiPriority w:val="0"/>
    <w:pPr>
      <w:ind w:left="1680"/>
      <w:jc w:val="left"/>
    </w:pPr>
    <w:rPr>
      <w:rFonts w:ascii="Times New Roman" w:hAnsi="Times New Roman"/>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列出段落1"/>
    <w:basedOn w:val="1"/>
    <w:qFormat/>
    <w:uiPriority w:val="0"/>
    <w:pPr>
      <w:widowControl/>
      <w:ind w:firstLine="420" w:firstLineChars="200"/>
      <w:jc w:val="left"/>
    </w:pPr>
    <w:rPr>
      <w:kern w:val="0"/>
      <w:sz w:val="24"/>
      <w:lang w:eastAsia="en-US"/>
    </w:rPr>
  </w:style>
  <w:style w:type="character" w:customStyle="1" w:styleId="13">
    <w:name w:val="页眉 字符"/>
    <w:basedOn w:val="10"/>
    <w:link w:val="7"/>
    <w:qFormat/>
    <w:uiPriority w:val="0"/>
    <w:rPr>
      <w:kern w:val="2"/>
      <w:sz w:val="18"/>
      <w:szCs w:val="18"/>
    </w:rPr>
  </w:style>
  <w:style w:type="character" w:customStyle="1" w:styleId="14">
    <w:name w:val="页脚 字符"/>
    <w:basedOn w:val="10"/>
    <w:link w:val="6"/>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1246</Words>
  <Characters>1311</Characters>
  <Lines>17</Lines>
  <Paragraphs>4</Paragraphs>
  <TotalTime>3</TotalTime>
  <ScaleCrop>false</ScaleCrop>
  <LinksUpToDate>false</LinksUpToDate>
  <CharactersWithSpaces>1314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2024-01-18T07:21:00Z</dcterms:created>
  <dc:creator>郭文杰</dc:creator>
  <cp:lastModifiedBy>面朝大海</cp:lastModifiedBy>
  <cp:lastPrinted>2024-01-19T01:22:00Z</cp:lastPrinted>
  <dcterms:modified xsi:type="dcterms:W3CDTF">2024-08-14T07:10:28Z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7A66588AAFA942A98FBB890DEAFE12DD_13</vt:lpwstr>
  </property>
</Properties>
</file>