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附件1：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3"/>
        <w:tblW w:w="9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085"/>
        <w:gridCol w:w="1293"/>
        <w:gridCol w:w="709"/>
        <w:gridCol w:w="1394"/>
        <w:gridCol w:w="2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887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供货商名称（加盖公章）：</w:t>
            </w:r>
          </w:p>
        </w:tc>
        <w:tc>
          <w:tcPr>
            <w:tcW w:w="27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日期：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 年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地区及结算价格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结算价格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套餐内容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供应商报价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宁夏“两县一镇”（彭阳县、泾源县、闽宁镇）扶贫产品，采购人以400元/人的标准结算。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自由选购产品，无套餐。产品价格不超过当地市场同类产品平均价格。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供应商报价不得低于400元/人，采购人可自由选购扶贫产品。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西藏左贡县扶贫产品，采购人以100元/人的标准结算。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套餐一：  ，价值：     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套餐二：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，价值：     ；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供应商提供2-3个套餐供我工会会员选择，套餐价值不低于100元/套。取套餐价值的平均值作为报价。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新疆吉木萨尔县扶贫产品，采购人以100元/人的标准结算。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套餐一：  ，价值：     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套餐二：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，价值：     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供应商提供2-3个套餐供我工会会员选择，套餐价值不低于100元/套。取套餐价值的平均值作为报价。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4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在供应商满足要求的基础上，按照总报价最高的方式确定中标供应商。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2" w:type="dxa"/>
            <w:gridSpan w:val="6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供应商要求：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1.一站式服务，线上/线下提货，全国包邮。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.本项目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约为176人，按实际人数名单结算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3.开标现场有二次报价，以二次报价作为供应商最终报价。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4.供应商提供的产品价格不超过当地市场同类产品平均价格。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78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商联系人：</w:t>
            </w:r>
          </w:p>
        </w:tc>
        <w:tc>
          <w:tcPr>
            <w:tcW w:w="4808" w:type="dxa"/>
            <w:gridSpan w:val="3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/>
    <w:sectPr>
      <w:pgSz w:w="11906" w:h="16838"/>
      <w:pgMar w:top="1218" w:right="1558" w:bottom="92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44A4515C"/>
    <w:rsid w:val="44A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2023-09-07T06:59:00Z</dcterms:created>
  <dc:creator>向日葵</dc:creator>
  <cp:lastModifiedBy>向日葵</cp:lastModifiedBy>
  <dcterms:modified xsi:type="dcterms:W3CDTF">2023-09-07T07:01:06Z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EFC440CBEEE4462EB3FA4A83782B9224_11</vt:lpwstr>
  </property>
</Properties>
</file>