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jc w:val="left"/>
        <w:rPr>
          <w:rFonts w:ascii="宋体" w:hAnsi="宋体" w:eastAsia="宋体" w:cs="宋体"/>
          <w:b/>
          <w:bCs/>
          <w:kern w:val="0"/>
          <w:sz w:val="48"/>
          <w:szCs w:val="48"/>
        </w:rPr>
      </w:pPr>
      <w:bookmarkStart w:id="34" w:name="_GoBack"/>
      <w:bookmarkEnd w:id="34"/>
    </w:p>
    <w:p>
      <w:pPr>
        <w:spacing w:before="50" w:after="50"/>
        <w:jc w:val="left"/>
        <w:rPr>
          <w:rFonts w:ascii="宋体" w:hAnsi="宋体" w:eastAsia="宋体" w:cs="宋体"/>
          <w:b/>
          <w:bCs/>
          <w:kern w:val="0"/>
          <w:sz w:val="48"/>
          <w:szCs w:val="48"/>
        </w:rPr>
      </w:pPr>
    </w:p>
    <w:p>
      <w:pPr>
        <w:spacing w:before="50" w:after="50"/>
        <w:jc w:val="left"/>
        <w:rPr>
          <w:rFonts w:ascii="宋体" w:hAnsi="宋体" w:eastAsia="宋体" w:cs="宋体"/>
          <w:b/>
          <w:bCs/>
          <w:kern w:val="0"/>
          <w:sz w:val="48"/>
          <w:szCs w:val="48"/>
        </w:rPr>
      </w:pPr>
    </w:p>
    <w:p>
      <w:pPr>
        <w:jc w:val="center"/>
        <w:rPr>
          <w:rFonts w:ascii="宋体" w:hAnsi="宋体" w:cs="宋体"/>
          <w:b/>
          <w:bCs/>
          <w:kern w:val="0"/>
          <w:sz w:val="72"/>
          <w:szCs w:val="53"/>
        </w:rPr>
      </w:pPr>
      <w:r>
        <w:rPr>
          <w:rFonts w:ascii="宋体" w:hAnsi="宋体" w:cs="宋体"/>
          <w:b/>
          <w:bCs/>
          <w:kern w:val="0"/>
          <w:sz w:val="72"/>
          <w:szCs w:val="53"/>
        </w:rPr>
        <w:t>福建省政府采购</w:t>
      </w:r>
    </w:p>
    <w:p>
      <w:pPr>
        <w:jc w:val="center"/>
        <w:rPr>
          <w:rFonts w:ascii="宋体" w:hAnsi="宋体" w:cs="宋体"/>
          <w:b/>
          <w:bCs/>
          <w:kern w:val="0"/>
          <w:sz w:val="72"/>
          <w:szCs w:val="53"/>
        </w:rPr>
      </w:pPr>
      <w:r>
        <w:rPr>
          <w:rFonts w:ascii="宋体" w:hAnsi="宋体" w:cs="宋体"/>
          <w:b/>
          <w:bCs/>
          <w:kern w:val="0"/>
          <w:sz w:val="72"/>
          <w:szCs w:val="53"/>
        </w:rPr>
        <w:t>货物和服务项目</w:t>
      </w:r>
    </w:p>
    <w:p>
      <w:pPr>
        <w:jc w:val="center"/>
        <w:rPr>
          <w:rFonts w:ascii="宋体" w:hAnsi="宋体" w:cs="宋体"/>
          <w:b/>
          <w:bCs/>
          <w:kern w:val="0"/>
          <w:sz w:val="72"/>
          <w:szCs w:val="53"/>
        </w:rPr>
      </w:pPr>
      <w:r>
        <w:rPr>
          <w:rFonts w:ascii="宋体" w:hAnsi="宋体" w:cs="宋体"/>
          <w:b/>
          <w:bCs/>
          <w:kern w:val="0"/>
          <w:sz w:val="72"/>
          <w:szCs w:val="53"/>
        </w:rPr>
        <w:t>公开招标文件</w:t>
      </w:r>
    </w:p>
    <w:p>
      <w:pPr>
        <w:jc w:val="center"/>
        <w:rPr>
          <w:rFonts w:hint="eastAsia" w:ascii="宋体" w:hAnsi="宋体" w:cs="宋体"/>
          <w:b/>
          <w:bCs/>
          <w:kern w:val="0"/>
          <w:sz w:val="72"/>
          <w:szCs w:val="53"/>
        </w:rPr>
      </w:pPr>
    </w:p>
    <w:p>
      <w:pPr>
        <w:jc w:val="center"/>
        <w:rPr>
          <w:rFonts w:hint="eastAsia" w:ascii="宋体" w:hAnsi="宋体" w:cs="宋体"/>
          <w:b/>
          <w:bCs/>
          <w:kern w:val="0"/>
          <w:sz w:val="72"/>
          <w:szCs w:val="53"/>
        </w:rPr>
      </w:pPr>
    </w:p>
    <w:p>
      <w:pPr>
        <w:spacing w:line="360" w:lineRule="auto"/>
        <w:jc w:val="center"/>
        <w:rPr>
          <w:rFonts w:hint="eastAsia" w:ascii="宋体" w:hAnsi="宋体" w:eastAsia="宋体" w:cs="宋体"/>
          <w:b/>
          <w:bCs/>
          <w:kern w:val="0"/>
          <w:sz w:val="32"/>
          <w:szCs w:val="32"/>
          <w:lang w:eastAsia="zh-CN"/>
        </w:rPr>
      </w:pPr>
      <w:r>
        <w:rPr>
          <w:rFonts w:ascii="宋体" w:hAnsi="宋体" w:cs="宋体"/>
          <w:b/>
          <w:bCs/>
          <w:kern w:val="0"/>
          <w:sz w:val="32"/>
          <w:szCs w:val="32"/>
        </w:rPr>
        <w:t>项目名称：</w:t>
      </w:r>
      <w:r>
        <w:rPr>
          <w:rFonts w:hint="eastAsia" w:ascii="宋体" w:hAnsi="宋体" w:cs="宋体"/>
          <w:b/>
          <w:bCs/>
          <w:kern w:val="0"/>
          <w:sz w:val="32"/>
          <w:szCs w:val="32"/>
          <w:lang w:eastAsia="zh-CN"/>
        </w:rPr>
        <w:t>彩超一批</w:t>
      </w:r>
    </w:p>
    <w:p>
      <w:pPr>
        <w:spacing w:line="360" w:lineRule="auto"/>
        <w:jc w:val="center"/>
        <w:rPr>
          <w:rFonts w:hint="eastAsia" w:ascii="宋体" w:hAnsi="宋体" w:eastAsia="宋体" w:cs="宋体"/>
          <w:b/>
          <w:bCs/>
          <w:kern w:val="0"/>
          <w:sz w:val="32"/>
          <w:szCs w:val="32"/>
          <w:lang w:eastAsia="zh-CN"/>
        </w:rPr>
      </w:pPr>
      <w:r>
        <w:rPr>
          <w:rFonts w:ascii="宋体" w:hAnsi="宋体" w:cs="宋体"/>
          <w:b/>
          <w:bCs/>
          <w:kern w:val="0"/>
          <w:sz w:val="32"/>
          <w:szCs w:val="32"/>
        </w:rPr>
        <w:t>备案编号：</w:t>
      </w:r>
      <w:r>
        <w:rPr>
          <w:rFonts w:hint="eastAsia" w:ascii="宋体" w:hAnsi="宋体" w:cs="宋体"/>
          <w:b/>
          <w:bCs/>
          <w:kern w:val="0"/>
          <w:sz w:val="32"/>
          <w:szCs w:val="32"/>
          <w:lang w:eastAsia="zh-CN"/>
        </w:rPr>
        <w:t>CGXM-2023-350201-01663[2023]00788</w:t>
      </w:r>
    </w:p>
    <w:p>
      <w:pPr>
        <w:spacing w:line="360" w:lineRule="auto"/>
        <w:jc w:val="center"/>
        <w:rPr>
          <w:rFonts w:ascii="宋体" w:hAnsi="宋体" w:cs="宋体"/>
          <w:b/>
          <w:bCs/>
          <w:kern w:val="0"/>
          <w:sz w:val="32"/>
          <w:szCs w:val="32"/>
        </w:rPr>
      </w:pPr>
      <w:r>
        <w:rPr>
          <w:rFonts w:ascii="宋体" w:hAnsi="宋体" w:cs="宋体"/>
          <w:b/>
          <w:bCs/>
          <w:kern w:val="0"/>
          <w:sz w:val="32"/>
          <w:szCs w:val="32"/>
        </w:rPr>
        <w:t>项目编号：[350201]GWTZ[GK]2023022</w:t>
      </w:r>
    </w:p>
    <w:p>
      <w:pPr>
        <w:spacing w:line="360" w:lineRule="auto"/>
        <w:jc w:val="center"/>
        <w:rPr>
          <w:rFonts w:ascii="宋体" w:hAnsi="宋体" w:cs="宋体"/>
          <w:b/>
          <w:bCs/>
          <w:kern w:val="0"/>
          <w:sz w:val="32"/>
          <w:szCs w:val="32"/>
        </w:rPr>
      </w:pPr>
    </w:p>
    <w:p>
      <w:pPr>
        <w:spacing w:line="360" w:lineRule="auto"/>
        <w:jc w:val="center"/>
        <w:rPr>
          <w:rFonts w:ascii="宋体" w:hAnsi="宋体" w:cs="宋体"/>
          <w:b/>
          <w:bCs/>
          <w:kern w:val="0"/>
          <w:sz w:val="32"/>
          <w:szCs w:val="32"/>
        </w:rPr>
      </w:pPr>
    </w:p>
    <w:p>
      <w:pPr>
        <w:spacing w:line="360" w:lineRule="auto"/>
        <w:jc w:val="center"/>
        <w:rPr>
          <w:rFonts w:hint="eastAsia" w:ascii="宋体" w:hAnsi="宋体" w:eastAsia="宋体" w:cs="宋体"/>
          <w:b/>
          <w:bCs/>
          <w:kern w:val="0"/>
          <w:sz w:val="32"/>
          <w:szCs w:val="32"/>
          <w:lang w:eastAsia="zh-CN"/>
        </w:rPr>
      </w:pPr>
      <w:r>
        <w:rPr>
          <w:rFonts w:ascii="宋体" w:hAnsi="宋体" w:cs="宋体"/>
          <w:b/>
          <w:bCs/>
          <w:kern w:val="0"/>
          <w:sz w:val="32"/>
          <w:szCs w:val="32"/>
        </w:rPr>
        <w:t>采购人：</w:t>
      </w:r>
      <w:r>
        <w:rPr>
          <w:rFonts w:hint="eastAsia" w:ascii="宋体" w:hAnsi="宋体" w:cs="宋体"/>
          <w:b/>
          <w:bCs/>
          <w:kern w:val="0"/>
          <w:sz w:val="32"/>
          <w:szCs w:val="32"/>
          <w:lang w:eastAsia="zh-CN"/>
        </w:rPr>
        <w:t>厦门市苏颂医院</w:t>
      </w:r>
    </w:p>
    <w:p>
      <w:pPr>
        <w:spacing w:line="360" w:lineRule="auto"/>
        <w:jc w:val="center"/>
        <w:rPr>
          <w:rFonts w:hint="eastAsia" w:ascii="宋体" w:hAnsi="宋体" w:eastAsia="宋体" w:cs="宋体"/>
          <w:b/>
          <w:bCs/>
          <w:kern w:val="0"/>
          <w:sz w:val="32"/>
          <w:szCs w:val="32"/>
          <w:lang w:eastAsia="zh-CN"/>
        </w:rPr>
      </w:pPr>
      <w:r>
        <w:rPr>
          <w:rFonts w:ascii="宋体" w:hAnsi="宋体" w:cs="宋体"/>
          <w:b/>
          <w:bCs/>
          <w:kern w:val="0"/>
          <w:sz w:val="32"/>
          <w:szCs w:val="32"/>
        </w:rPr>
        <w:t>代理机构：</w:t>
      </w:r>
      <w:r>
        <w:rPr>
          <w:rFonts w:hint="eastAsia" w:ascii="宋体" w:hAnsi="宋体" w:cs="宋体"/>
          <w:b/>
          <w:bCs/>
          <w:kern w:val="0"/>
          <w:sz w:val="32"/>
          <w:szCs w:val="32"/>
          <w:lang w:eastAsia="zh-CN"/>
        </w:rPr>
        <w:t>厦门市公物投资管理有限公司</w:t>
      </w:r>
    </w:p>
    <w:p>
      <w:pPr>
        <w:spacing w:line="360" w:lineRule="auto"/>
        <w:jc w:val="center"/>
        <w:rPr>
          <w:rFonts w:ascii="宋体" w:hAnsi="宋体" w:cs="宋体"/>
          <w:b/>
          <w:bCs/>
          <w:kern w:val="0"/>
          <w:sz w:val="32"/>
          <w:szCs w:val="32"/>
        </w:rPr>
      </w:pPr>
      <w:r>
        <w:rPr>
          <w:rFonts w:ascii="宋体" w:hAnsi="宋体" w:cs="宋体"/>
          <w:b/>
          <w:bCs/>
          <w:kern w:val="0"/>
          <w:sz w:val="32"/>
          <w:szCs w:val="32"/>
        </w:rPr>
        <w:t> </w:t>
      </w:r>
    </w:p>
    <w:p>
      <w:pPr>
        <w:spacing w:line="360" w:lineRule="auto"/>
        <w:jc w:val="center"/>
        <w:rPr>
          <w:rFonts w:ascii="宋体" w:hAnsi="宋体" w:cs="宋体"/>
          <w:b/>
          <w:bCs/>
          <w:kern w:val="0"/>
          <w:sz w:val="32"/>
          <w:szCs w:val="32"/>
        </w:rPr>
      </w:pPr>
      <w:r>
        <w:rPr>
          <w:rFonts w:hint="eastAsia" w:ascii="宋体" w:hAnsi="宋体" w:cs="宋体"/>
          <w:b/>
          <w:bCs/>
          <w:kern w:val="0"/>
          <w:sz w:val="32"/>
          <w:szCs w:val="32"/>
        </w:rPr>
        <w:t>编制时间：</w:t>
      </w:r>
      <w:r>
        <w:rPr>
          <w:rFonts w:ascii="宋体" w:hAnsi="宋体" w:cs="宋体"/>
          <w:b/>
          <w:bCs/>
          <w:kern w:val="0"/>
          <w:sz w:val="32"/>
          <w:szCs w:val="32"/>
        </w:rPr>
        <w:t>202</w:t>
      </w:r>
      <w:r>
        <w:rPr>
          <w:rFonts w:hint="eastAsia" w:ascii="宋体" w:hAnsi="宋体" w:cs="宋体"/>
          <w:b/>
          <w:bCs/>
          <w:kern w:val="0"/>
          <w:sz w:val="32"/>
          <w:szCs w:val="32"/>
        </w:rPr>
        <w:t>3</w:t>
      </w:r>
      <w:r>
        <w:rPr>
          <w:rFonts w:ascii="宋体" w:hAnsi="宋体" w:cs="宋体"/>
          <w:b/>
          <w:bCs/>
          <w:kern w:val="0"/>
          <w:sz w:val="32"/>
          <w:szCs w:val="32"/>
        </w:rPr>
        <w:t>年</w:t>
      </w:r>
      <w:r>
        <w:rPr>
          <w:rFonts w:hint="eastAsia" w:ascii="宋体" w:hAnsi="宋体" w:cs="宋体"/>
          <w:b/>
          <w:bCs/>
          <w:kern w:val="0"/>
          <w:sz w:val="32"/>
          <w:szCs w:val="32"/>
        </w:rPr>
        <w:t>0</w:t>
      </w:r>
      <w:r>
        <w:rPr>
          <w:rFonts w:hint="eastAsia" w:ascii="宋体" w:hAnsi="宋体" w:cs="宋体"/>
          <w:b/>
          <w:bCs/>
          <w:kern w:val="0"/>
          <w:sz w:val="32"/>
          <w:szCs w:val="32"/>
          <w:lang w:val="en-US" w:eastAsia="zh-CN"/>
        </w:rPr>
        <w:t>8</w:t>
      </w:r>
      <w:r>
        <w:rPr>
          <w:rFonts w:ascii="宋体" w:hAnsi="宋体" w:cs="宋体"/>
          <w:b/>
          <w:bCs/>
          <w:kern w:val="0"/>
          <w:sz w:val="32"/>
          <w:szCs w:val="32"/>
        </w:rPr>
        <w:t>月</w:t>
      </w:r>
    </w:p>
    <w:p>
      <w:pPr>
        <w:sectPr>
          <w:footerReference r:id="rId3" w:type="default"/>
          <w:pgSz w:w="11906" w:h="16838"/>
          <w:pgMar w:top="1418" w:right="1418" w:bottom="1418" w:left="1418" w:header="851" w:footer="992" w:gutter="0"/>
          <w:cols w:space="720" w:num="1"/>
          <w:docGrid w:type="lines" w:linePitch="312" w:charSpace="0"/>
        </w:sectPr>
      </w:pPr>
    </w:p>
    <w:p>
      <w:pPr>
        <w:pStyle w:val="49"/>
        <w:widowControl w:val="0"/>
        <w:spacing w:beforeLines="50" w:afterLines="50" w:line="240" w:lineRule="auto"/>
        <w:jc w:val="center"/>
        <w:rPr>
          <w:color w:val="auto"/>
          <w:sz w:val="32"/>
        </w:rPr>
      </w:pPr>
      <w:r>
        <w:rPr>
          <w:color w:val="auto"/>
          <w:sz w:val="32"/>
          <w:lang w:val="zh-CN"/>
        </w:rPr>
        <w:t>目</w:t>
      </w:r>
      <w:r>
        <w:rPr>
          <w:rFonts w:hint="eastAsia"/>
          <w:color w:val="auto"/>
          <w:sz w:val="32"/>
          <w:lang w:val="zh-CN"/>
        </w:rPr>
        <w:t xml:space="preserve">  </w:t>
      </w:r>
      <w:r>
        <w:rPr>
          <w:color w:val="auto"/>
          <w:sz w:val="32"/>
          <w:lang w:val="zh-CN"/>
        </w:rPr>
        <w:t>录</w:t>
      </w:r>
    </w:p>
    <w:p>
      <w:pPr>
        <w:pStyle w:val="14"/>
        <w:tabs>
          <w:tab w:val="right" w:leader="dot" w:pos="9060"/>
        </w:tabs>
        <w:spacing w:line="360" w:lineRule="auto"/>
        <w:rPr>
          <w:rFonts w:ascii="宋体" w:hAnsi="宋体"/>
          <w:sz w:val="24"/>
          <w:szCs w:val="24"/>
        </w:rPr>
      </w:pPr>
      <w:r>
        <w:rPr>
          <w:rFonts w:ascii="宋体" w:hAnsi="宋体"/>
          <w:sz w:val="24"/>
          <w:szCs w:val="24"/>
        </w:rPr>
        <w:fldChar w:fldCharType="begin"/>
      </w:r>
      <w:r>
        <w:rPr>
          <w:rFonts w:ascii="宋体" w:hAnsi="宋体"/>
          <w:sz w:val="24"/>
          <w:szCs w:val="24"/>
        </w:rPr>
        <w:instrText xml:space="preserve"> TOC \o "1-3" \h \z \u </w:instrText>
      </w:r>
      <w:r>
        <w:rPr>
          <w:rFonts w:ascii="宋体" w:hAnsi="宋体"/>
          <w:sz w:val="24"/>
          <w:szCs w:val="24"/>
        </w:rPr>
        <w:fldChar w:fldCharType="separate"/>
      </w:r>
      <w:r>
        <w:fldChar w:fldCharType="begin"/>
      </w:r>
      <w:r>
        <w:instrText xml:space="preserve"> HYPERLINK \l "_Toc139103779" </w:instrText>
      </w:r>
      <w:r>
        <w:fldChar w:fldCharType="separate"/>
      </w:r>
      <w:r>
        <w:rPr>
          <w:rStyle w:val="22"/>
          <w:rFonts w:hint="eastAsia" w:ascii="宋体" w:hAnsi="宋体" w:cs="Times New Roman"/>
          <w:kern w:val="0"/>
          <w:sz w:val="24"/>
          <w:szCs w:val="24"/>
        </w:rPr>
        <w:t>第一章</w:t>
      </w:r>
      <w:r>
        <w:rPr>
          <w:rStyle w:val="22"/>
          <w:rFonts w:ascii="宋体" w:hAnsi="宋体" w:cs="Times New Roman"/>
          <w:kern w:val="0"/>
          <w:sz w:val="24"/>
          <w:szCs w:val="24"/>
        </w:rPr>
        <w:t xml:space="preserve">  </w:t>
      </w:r>
      <w:r>
        <w:rPr>
          <w:rStyle w:val="22"/>
          <w:rFonts w:hint="eastAsia" w:ascii="宋体" w:hAnsi="宋体" w:cs="Times New Roman"/>
          <w:kern w:val="0"/>
          <w:sz w:val="24"/>
          <w:szCs w:val="24"/>
        </w:rPr>
        <w:t>投标邀请</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_Toc139103779 \h </w:instrText>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r>
        <w:rPr>
          <w:rFonts w:ascii="宋体" w:hAnsi="宋体"/>
          <w:sz w:val="24"/>
          <w:szCs w:val="24"/>
        </w:rPr>
        <w:fldChar w:fldCharType="end"/>
      </w:r>
    </w:p>
    <w:p>
      <w:pPr>
        <w:pStyle w:val="14"/>
        <w:tabs>
          <w:tab w:val="right" w:leader="dot" w:pos="9060"/>
        </w:tabs>
        <w:spacing w:line="360" w:lineRule="auto"/>
        <w:rPr>
          <w:rFonts w:ascii="宋体" w:hAnsi="宋体"/>
          <w:sz w:val="24"/>
          <w:szCs w:val="24"/>
        </w:rPr>
      </w:pPr>
      <w:r>
        <w:fldChar w:fldCharType="begin"/>
      </w:r>
      <w:r>
        <w:instrText xml:space="preserve"> HYPERLINK \l "_Toc139103780" </w:instrText>
      </w:r>
      <w:r>
        <w:fldChar w:fldCharType="separate"/>
      </w:r>
      <w:r>
        <w:rPr>
          <w:rStyle w:val="22"/>
          <w:rFonts w:hint="eastAsia" w:ascii="宋体" w:hAnsi="宋体" w:cs="Times New Roman"/>
          <w:kern w:val="0"/>
          <w:sz w:val="24"/>
          <w:szCs w:val="24"/>
        </w:rPr>
        <w:t>第二章</w:t>
      </w:r>
      <w:r>
        <w:rPr>
          <w:rStyle w:val="22"/>
          <w:rFonts w:ascii="宋体" w:hAnsi="宋体" w:cs="Times New Roman"/>
          <w:kern w:val="0"/>
          <w:sz w:val="24"/>
          <w:szCs w:val="24"/>
        </w:rPr>
        <w:t xml:space="preserve">  </w:t>
      </w:r>
      <w:r>
        <w:rPr>
          <w:rStyle w:val="22"/>
          <w:rFonts w:hint="eastAsia" w:ascii="宋体" w:hAnsi="宋体" w:cs="Times New Roman"/>
          <w:kern w:val="0"/>
          <w:sz w:val="24"/>
          <w:szCs w:val="24"/>
        </w:rPr>
        <w:t>投标人须知前附表</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_Toc139103780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"_Toc139103781" </w:instrText>
      </w:r>
      <w:r>
        <w:fldChar w:fldCharType="separate"/>
      </w:r>
      <w:r>
        <w:rPr>
          <w:rStyle w:val="22"/>
          <w:rFonts w:hint="eastAsia" w:ascii="宋体" w:hAnsi="宋体" w:cs="Times New Roman"/>
          <w:kern w:val="0"/>
          <w:sz w:val="24"/>
          <w:szCs w:val="24"/>
        </w:rPr>
        <w:t>一、投标人须知前附表</w:t>
      </w:r>
      <w:r>
        <w:rPr>
          <w:rStyle w:val="22"/>
          <w:rFonts w:ascii="宋体" w:hAnsi="宋体" w:cs="Times New Roman"/>
          <w:kern w:val="0"/>
          <w:sz w:val="24"/>
          <w:szCs w:val="24"/>
        </w:rPr>
        <w:t>1</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_Toc139103781 \h </w:instrText>
      </w:r>
      <w:r>
        <w:rPr>
          <w:rFonts w:ascii="宋体" w:hAnsi="宋体"/>
          <w:sz w:val="24"/>
          <w:szCs w:val="24"/>
        </w:rPr>
        <w:fldChar w:fldCharType="separate"/>
      </w:r>
      <w:r>
        <w:rPr>
          <w:rFonts w:ascii="宋体" w:hAnsi="宋体"/>
          <w:sz w:val="24"/>
          <w:szCs w:val="24"/>
        </w:rPr>
        <w:t>7</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"_Toc139103782" </w:instrText>
      </w:r>
      <w:r>
        <w:fldChar w:fldCharType="separate"/>
      </w:r>
      <w:r>
        <w:rPr>
          <w:rStyle w:val="22"/>
          <w:rFonts w:hint="eastAsia" w:ascii="宋体" w:hAnsi="宋体" w:cs="Times New Roman"/>
          <w:kern w:val="0"/>
          <w:sz w:val="24"/>
          <w:szCs w:val="24"/>
        </w:rPr>
        <w:t>二、投标人须知前附表</w:t>
      </w:r>
      <w:r>
        <w:rPr>
          <w:rStyle w:val="22"/>
          <w:rFonts w:ascii="宋体" w:hAnsi="宋体" w:cs="Times New Roman"/>
          <w:kern w:val="0"/>
          <w:sz w:val="24"/>
          <w:szCs w:val="24"/>
        </w:rPr>
        <w:t>2</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_Toc139103782 \h </w:instrText>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r>
        <w:rPr>
          <w:rFonts w:ascii="宋体" w:hAnsi="宋体"/>
          <w:sz w:val="24"/>
          <w:szCs w:val="24"/>
        </w:rPr>
        <w:fldChar w:fldCharType="end"/>
      </w:r>
    </w:p>
    <w:p>
      <w:pPr>
        <w:pStyle w:val="14"/>
        <w:tabs>
          <w:tab w:val="right" w:leader="dot" w:pos="9060"/>
        </w:tabs>
        <w:spacing w:line="360" w:lineRule="auto"/>
        <w:rPr>
          <w:rFonts w:ascii="宋体" w:hAnsi="宋体"/>
          <w:sz w:val="24"/>
          <w:szCs w:val="24"/>
        </w:rPr>
      </w:pPr>
      <w:r>
        <w:fldChar w:fldCharType="begin"/>
      </w:r>
      <w:r>
        <w:instrText xml:space="preserve"> HYPERLINK \l "_Toc139103783" </w:instrText>
      </w:r>
      <w:r>
        <w:fldChar w:fldCharType="separate"/>
      </w:r>
      <w:r>
        <w:rPr>
          <w:rStyle w:val="22"/>
          <w:rFonts w:hint="eastAsia" w:ascii="宋体" w:hAnsi="宋体" w:cs="Times New Roman"/>
          <w:kern w:val="0"/>
          <w:sz w:val="24"/>
          <w:szCs w:val="24"/>
        </w:rPr>
        <w:t>第三章</w:t>
      </w:r>
      <w:r>
        <w:rPr>
          <w:rStyle w:val="22"/>
          <w:rFonts w:ascii="宋体" w:hAnsi="宋体" w:cs="Times New Roman"/>
          <w:kern w:val="0"/>
          <w:sz w:val="24"/>
          <w:szCs w:val="24"/>
        </w:rPr>
        <w:t xml:space="preserve">  </w:t>
      </w:r>
      <w:r>
        <w:rPr>
          <w:rStyle w:val="22"/>
          <w:rFonts w:hint="eastAsia" w:ascii="宋体" w:hAnsi="宋体" w:cs="Times New Roman"/>
          <w:kern w:val="0"/>
          <w:sz w:val="24"/>
          <w:szCs w:val="24"/>
        </w:rPr>
        <w:t>投标人须知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_Toc139103783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"_Toc139103784" </w:instrText>
      </w:r>
      <w:r>
        <w:fldChar w:fldCharType="separate"/>
      </w:r>
      <w:r>
        <w:rPr>
          <w:rStyle w:val="22"/>
          <w:rFonts w:hint="eastAsia" w:ascii="宋体" w:hAnsi="宋体" w:cs="Times New Roman"/>
          <w:kern w:val="0"/>
          <w:sz w:val="24"/>
          <w:szCs w:val="24"/>
        </w:rPr>
        <w:t>一、总则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_Toc139103784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"_Toc139103785" </w:instrText>
      </w:r>
      <w:r>
        <w:fldChar w:fldCharType="separate"/>
      </w:r>
      <w:r>
        <w:rPr>
          <w:rStyle w:val="22"/>
          <w:rFonts w:hint="eastAsia" w:ascii="宋体" w:hAnsi="宋体" w:cs="Times New Roman"/>
          <w:kern w:val="0"/>
          <w:sz w:val="24"/>
          <w:szCs w:val="24"/>
        </w:rPr>
        <w:t>二、投标人</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_Toc139103785 \h </w:instrText>
      </w:r>
      <w:r>
        <w:rPr>
          <w:rFonts w:ascii="宋体" w:hAnsi="宋体"/>
          <w:sz w:val="24"/>
          <w:szCs w:val="24"/>
        </w:rPr>
        <w:fldChar w:fldCharType="separate"/>
      </w:r>
      <w:r>
        <w:rPr>
          <w:rFonts w:ascii="宋体" w:hAnsi="宋体"/>
          <w:sz w:val="24"/>
          <w:szCs w:val="24"/>
        </w:rPr>
        <w:t>12</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"_Toc139103786" </w:instrText>
      </w:r>
      <w:r>
        <w:fldChar w:fldCharType="separate"/>
      </w:r>
      <w:r>
        <w:rPr>
          <w:rStyle w:val="22"/>
          <w:rFonts w:hint="eastAsia" w:ascii="宋体" w:hAnsi="宋体" w:cs="Times New Roman"/>
          <w:kern w:val="0"/>
          <w:sz w:val="24"/>
          <w:szCs w:val="24"/>
        </w:rPr>
        <w:t>三、招标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_Toc139103786 \h </w:instrText>
      </w:r>
      <w:r>
        <w:rPr>
          <w:rFonts w:ascii="宋体" w:hAnsi="宋体"/>
          <w:sz w:val="24"/>
          <w:szCs w:val="24"/>
        </w:rPr>
        <w:fldChar w:fldCharType="separate"/>
      </w:r>
      <w:r>
        <w:rPr>
          <w:rFonts w:ascii="宋体" w:hAnsi="宋体"/>
          <w:sz w:val="24"/>
          <w:szCs w:val="24"/>
        </w:rPr>
        <w:t>13</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"_Toc139103787" </w:instrText>
      </w:r>
      <w:r>
        <w:fldChar w:fldCharType="separate"/>
      </w:r>
      <w:r>
        <w:rPr>
          <w:rStyle w:val="22"/>
          <w:rFonts w:hint="eastAsia" w:ascii="宋体" w:hAnsi="宋体" w:cs="Times New Roman"/>
          <w:kern w:val="0"/>
          <w:sz w:val="24"/>
          <w:szCs w:val="24"/>
        </w:rPr>
        <w:t>四、投标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_Toc139103787 \h </w:instrText>
      </w:r>
      <w:r>
        <w:rPr>
          <w:rFonts w:ascii="宋体" w:hAnsi="宋体"/>
          <w:sz w:val="24"/>
          <w:szCs w:val="24"/>
        </w:rPr>
        <w:fldChar w:fldCharType="separate"/>
      </w:r>
      <w:r>
        <w:rPr>
          <w:rFonts w:ascii="宋体" w:hAnsi="宋体"/>
          <w:sz w:val="24"/>
          <w:szCs w:val="24"/>
        </w:rPr>
        <w:t>14</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"_Toc139103788" </w:instrText>
      </w:r>
      <w:r>
        <w:fldChar w:fldCharType="separate"/>
      </w:r>
      <w:r>
        <w:rPr>
          <w:rStyle w:val="22"/>
          <w:rFonts w:hint="eastAsia" w:ascii="宋体" w:hAnsi="宋体" w:cs="Times New Roman"/>
          <w:kern w:val="0"/>
          <w:sz w:val="24"/>
          <w:szCs w:val="24"/>
        </w:rPr>
        <w:t>五、开标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_Toc139103788 \h </w:instrText>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"_Toc139103789" </w:instrText>
      </w:r>
      <w:r>
        <w:fldChar w:fldCharType="separate"/>
      </w:r>
      <w:r>
        <w:rPr>
          <w:rStyle w:val="22"/>
          <w:rFonts w:hint="eastAsia" w:ascii="宋体" w:hAnsi="宋体" w:cs="Times New Roman"/>
          <w:kern w:val="0"/>
          <w:sz w:val="24"/>
          <w:szCs w:val="24"/>
        </w:rPr>
        <w:t>六、中标与政府采购合同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_Toc139103789 \h </w:instrText>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"_Toc139103790" </w:instrText>
      </w:r>
      <w:r>
        <w:fldChar w:fldCharType="separate"/>
      </w:r>
      <w:r>
        <w:rPr>
          <w:rStyle w:val="22"/>
          <w:rFonts w:hint="eastAsia" w:ascii="宋体" w:hAnsi="宋体" w:cs="Times New Roman"/>
          <w:kern w:val="0"/>
          <w:sz w:val="24"/>
          <w:szCs w:val="24"/>
        </w:rPr>
        <w:t>七、询问、质疑与投诉</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_Toc139103790 \h </w:instrText>
      </w:r>
      <w:r>
        <w:rPr>
          <w:rFonts w:ascii="宋体" w:hAnsi="宋体"/>
          <w:sz w:val="24"/>
          <w:szCs w:val="24"/>
        </w:rPr>
        <w:fldChar w:fldCharType="separate"/>
      </w:r>
      <w:r>
        <w:rPr>
          <w:rFonts w:ascii="宋体" w:hAnsi="宋体"/>
          <w:sz w:val="24"/>
          <w:szCs w:val="24"/>
        </w:rPr>
        <w:t>22</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"_Toc139103791" </w:instrText>
      </w:r>
      <w:r>
        <w:fldChar w:fldCharType="separate"/>
      </w:r>
      <w:r>
        <w:rPr>
          <w:rStyle w:val="22"/>
          <w:rFonts w:hint="eastAsia" w:ascii="宋体" w:hAnsi="宋体" w:cs="Times New Roman"/>
          <w:kern w:val="0"/>
          <w:sz w:val="24"/>
          <w:szCs w:val="24"/>
        </w:rPr>
        <w:t>八、政府采购政策</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_Toc139103791 \h </w:instrText>
      </w:r>
      <w:r>
        <w:rPr>
          <w:rFonts w:ascii="宋体" w:hAnsi="宋体"/>
          <w:sz w:val="24"/>
          <w:szCs w:val="24"/>
        </w:rPr>
        <w:fldChar w:fldCharType="separate"/>
      </w:r>
      <w:r>
        <w:rPr>
          <w:rFonts w:ascii="宋体" w:hAnsi="宋体"/>
          <w:sz w:val="24"/>
          <w:szCs w:val="24"/>
        </w:rPr>
        <w:t>24</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"_Toc139103792" </w:instrText>
      </w:r>
      <w:r>
        <w:fldChar w:fldCharType="separate"/>
      </w:r>
      <w:r>
        <w:rPr>
          <w:rStyle w:val="22"/>
          <w:rFonts w:hint="eastAsia" w:ascii="宋体" w:hAnsi="宋体" w:cs="Times New Roman"/>
          <w:kern w:val="0"/>
          <w:sz w:val="24"/>
          <w:szCs w:val="24"/>
        </w:rPr>
        <w:t>九、本项目的有关信息</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_Toc139103792 \h </w:instrText>
      </w:r>
      <w:r>
        <w:rPr>
          <w:rFonts w:ascii="宋体" w:hAnsi="宋体"/>
          <w:sz w:val="24"/>
          <w:szCs w:val="24"/>
        </w:rPr>
        <w:fldChar w:fldCharType="separate"/>
      </w:r>
      <w:r>
        <w:rPr>
          <w:rFonts w:ascii="宋体" w:hAnsi="宋体"/>
          <w:sz w:val="24"/>
          <w:szCs w:val="24"/>
        </w:rPr>
        <w:t>26</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"_Toc139103793" </w:instrText>
      </w:r>
      <w:r>
        <w:fldChar w:fldCharType="separate"/>
      </w:r>
      <w:r>
        <w:rPr>
          <w:rStyle w:val="22"/>
          <w:rFonts w:hint="eastAsia" w:ascii="宋体" w:hAnsi="宋体" w:cs="Times New Roman"/>
          <w:kern w:val="0"/>
          <w:sz w:val="24"/>
          <w:szCs w:val="24"/>
        </w:rPr>
        <w:t>十、其他事项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_Toc139103793 \h </w:instrText>
      </w:r>
      <w:r>
        <w:rPr>
          <w:rFonts w:ascii="宋体" w:hAnsi="宋体"/>
          <w:sz w:val="24"/>
          <w:szCs w:val="24"/>
        </w:rPr>
        <w:fldChar w:fldCharType="separate"/>
      </w:r>
      <w:r>
        <w:rPr>
          <w:rFonts w:ascii="宋体" w:hAnsi="宋体"/>
          <w:sz w:val="24"/>
          <w:szCs w:val="24"/>
        </w:rPr>
        <w:t>27</w:t>
      </w:r>
      <w:r>
        <w:rPr>
          <w:rFonts w:ascii="宋体" w:hAnsi="宋体"/>
          <w:sz w:val="24"/>
          <w:szCs w:val="24"/>
        </w:rPr>
        <w:fldChar w:fldCharType="end"/>
      </w:r>
      <w:r>
        <w:rPr>
          <w:rFonts w:ascii="宋体" w:hAnsi="宋体"/>
          <w:sz w:val="24"/>
          <w:szCs w:val="24"/>
        </w:rPr>
        <w:fldChar w:fldCharType="end"/>
      </w:r>
    </w:p>
    <w:p>
      <w:pPr>
        <w:pStyle w:val="14"/>
        <w:tabs>
          <w:tab w:val="right" w:leader="dot" w:pos="9060"/>
        </w:tabs>
        <w:spacing w:line="360" w:lineRule="auto"/>
        <w:rPr>
          <w:rFonts w:ascii="宋体" w:hAnsi="宋体"/>
          <w:sz w:val="24"/>
          <w:szCs w:val="24"/>
        </w:rPr>
      </w:pPr>
      <w:r>
        <w:fldChar w:fldCharType="begin"/>
      </w:r>
      <w:r>
        <w:instrText xml:space="preserve"> HYPERLINK \l "_Toc139103794" </w:instrText>
      </w:r>
      <w:r>
        <w:fldChar w:fldCharType="separate"/>
      </w:r>
      <w:r>
        <w:rPr>
          <w:rStyle w:val="22"/>
          <w:rFonts w:hint="eastAsia" w:ascii="宋体" w:hAnsi="宋体" w:cs="Times New Roman"/>
          <w:kern w:val="0"/>
          <w:sz w:val="24"/>
          <w:szCs w:val="24"/>
        </w:rPr>
        <w:t>第四章</w:t>
      </w:r>
      <w:r>
        <w:rPr>
          <w:rStyle w:val="22"/>
          <w:rFonts w:ascii="宋体" w:hAnsi="宋体" w:cs="Times New Roman"/>
          <w:kern w:val="0"/>
          <w:sz w:val="24"/>
          <w:szCs w:val="24"/>
        </w:rPr>
        <w:t xml:space="preserve">  </w:t>
      </w:r>
      <w:r>
        <w:rPr>
          <w:rStyle w:val="22"/>
          <w:rFonts w:hint="eastAsia" w:ascii="宋体" w:hAnsi="宋体" w:cs="Times New Roman"/>
          <w:kern w:val="0"/>
          <w:sz w:val="24"/>
          <w:szCs w:val="24"/>
        </w:rPr>
        <w:t>资格审查与评标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_Toc139103794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"_Toc139103795" </w:instrText>
      </w:r>
      <w:r>
        <w:fldChar w:fldCharType="separate"/>
      </w:r>
      <w:r>
        <w:rPr>
          <w:rStyle w:val="22"/>
          <w:rFonts w:hint="eastAsia" w:ascii="宋体" w:hAnsi="宋体" w:cs="Times New Roman"/>
          <w:kern w:val="0"/>
          <w:sz w:val="24"/>
          <w:szCs w:val="24"/>
        </w:rPr>
        <w:t>一、资格审查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_Toc139103795 \h </w:instrText>
      </w:r>
      <w:r>
        <w:rPr>
          <w:rFonts w:ascii="宋体" w:hAnsi="宋体"/>
          <w:sz w:val="24"/>
          <w:szCs w:val="24"/>
        </w:rPr>
        <w:fldChar w:fldCharType="separate"/>
      </w:r>
      <w:r>
        <w:rPr>
          <w:rFonts w:ascii="宋体" w:hAnsi="宋体"/>
          <w:sz w:val="24"/>
          <w:szCs w:val="24"/>
        </w:rPr>
        <w:t>28</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"_Toc139103796" </w:instrText>
      </w:r>
      <w:r>
        <w:fldChar w:fldCharType="separate"/>
      </w:r>
      <w:r>
        <w:rPr>
          <w:rStyle w:val="22"/>
          <w:rFonts w:hint="eastAsia" w:ascii="宋体" w:hAnsi="宋体" w:cs="Times New Roman"/>
          <w:kern w:val="0"/>
          <w:sz w:val="24"/>
          <w:szCs w:val="24"/>
        </w:rPr>
        <w:t>二、评标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_Toc139103796 \h </w:instrText>
      </w:r>
      <w:r>
        <w:rPr>
          <w:rFonts w:ascii="宋体" w:hAnsi="宋体"/>
          <w:sz w:val="24"/>
          <w:szCs w:val="24"/>
        </w:rPr>
        <w:fldChar w:fldCharType="separate"/>
      </w:r>
      <w:r>
        <w:rPr>
          <w:rFonts w:ascii="宋体" w:hAnsi="宋体"/>
          <w:sz w:val="24"/>
          <w:szCs w:val="24"/>
        </w:rPr>
        <w:t>32</w:t>
      </w:r>
      <w:r>
        <w:rPr>
          <w:rFonts w:ascii="宋体" w:hAnsi="宋体"/>
          <w:sz w:val="24"/>
          <w:szCs w:val="24"/>
        </w:rPr>
        <w:fldChar w:fldCharType="end"/>
      </w:r>
      <w:r>
        <w:rPr>
          <w:rFonts w:ascii="宋体" w:hAnsi="宋体"/>
          <w:sz w:val="24"/>
          <w:szCs w:val="24"/>
        </w:rPr>
        <w:fldChar w:fldCharType="end"/>
      </w:r>
    </w:p>
    <w:p>
      <w:pPr>
        <w:pStyle w:val="14"/>
        <w:tabs>
          <w:tab w:val="right" w:leader="dot" w:pos="9060"/>
        </w:tabs>
        <w:spacing w:line="360" w:lineRule="auto"/>
        <w:rPr>
          <w:rFonts w:ascii="宋体" w:hAnsi="宋体"/>
          <w:sz w:val="24"/>
          <w:szCs w:val="24"/>
        </w:rPr>
      </w:pPr>
      <w:r>
        <w:fldChar w:fldCharType="begin"/>
      </w:r>
      <w:r>
        <w:instrText xml:space="preserve"> HYPERLINK \l "_Toc139103797" </w:instrText>
      </w:r>
      <w:r>
        <w:fldChar w:fldCharType="separate"/>
      </w:r>
      <w:r>
        <w:rPr>
          <w:rStyle w:val="22"/>
          <w:rFonts w:hint="eastAsia" w:ascii="宋体" w:hAnsi="宋体" w:cs="Times New Roman"/>
          <w:kern w:val="0"/>
          <w:sz w:val="24"/>
          <w:szCs w:val="24"/>
        </w:rPr>
        <w:t>第五章</w:t>
      </w:r>
      <w:r>
        <w:rPr>
          <w:rStyle w:val="22"/>
          <w:rFonts w:ascii="宋体" w:hAnsi="宋体" w:cs="Times New Roman"/>
          <w:kern w:val="0"/>
          <w:sz w:val="24"/>
          <w:szCs w:val="24"/>
        </w:rPr>
        <w:t xml:space="preserve">  </w:t>
      </w:r>
      <w:r>
        <w:rPr>
          <w:rStyle w:val="22"/>
          <w:rFonts w:hint="eastAsia" w:ascii="宋体" w:hAnsi="宋体" w:cs="Times New Roman"/>
          <w:kern w:val="0"/>
          <w:sz w:val="24"/>
          <w:szCs w:val="24"/>
        </w:rPr>
        <w:t>招标内容及要求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_Toc139103797 \h </w:instrText>
      </w:r>
      <w:r>
        <w:rPr>
          <w:rFonts w:ascii="宋体" w:hAnsi="宋体"/>
          <w:sz w:val="24"/>
          <w:szCs w:val="24"/>
        </w:rPr>
        <w:fldChar w:fldCharType="separate"/>
      </w:r>
      <w:r>
        <w:rPr>
          <w:rFonts w:ascii="宋体" w:hAnsi="宋体"/>
          <w:sz w:val="24"/>
          <w:szCs w:val="24"/>
        </w:rPr>
        <w:t>48</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"_Toc139103798" </w:instrText>
      </w:r>
      <w:r>
        <w:fldChar w:fldCharType="separate"/>
      </w:r>
      <w:r>
        <w:rPr>
          <w:rStyle w:val="22"/>
          <w:rFonts w:hint="eastAsia" w:ascii="宋体" w:hAnsi="宋体" w:cs="Times New Roman"/>
          <w:kern w:val="0"/>
          <w:sz w:val="24"/>
          <w:szCs w:val="24"/>
        </w:rPr>
        <w:t>一、项目概况（采购标的）</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_Toc139103798 \h </w:instrText>
      </w:r>
      <w:r>
        <w:rPr>
          <w:rFonts w:ascii="宋体" w:hAnsi="宋体"/>
          <w:sz w:val="24"/>
          <w:szCs w:val="24"/>
        </w:rPr>
        <w:fldChar w:fldCharType="separate"/>
      </w:r>
      <w:r>
        <w:rPr>
          <w:rFonts w:ascii="宋体" w:hAnsi="宋体"/>
          <w:sz w:val="24"/>
          <w:szCs w:val="24"/>
        </w:rPr>
        <w:t>48</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"_Toc139103799" </w:instrText>
      </w:r>
      <w:r>
        <w:fldChar w:fldCharType="separate"/>
      </w:r>
      <w:r>
        <w:rPr>
          <w:rStyle w:val="22"/>
          <w:rFonts w:hint="eastAsia" w:ascii="宋体" w:hAnsi="宋体" w:cs="Times New Roman"/>
          <w:kern w:val="0"/>
          <w:sz w:val="24"/>
          <w:szCs w:val="24"/>
        </w:rPr>
        <w:t>二、技术和服务要求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_Toc139103799 \h </w:instrText>
      </w:r>
      <w:r>
        <w:rPr>
          <w:rFonts w:ascii="宋体" w:hAnsi="宋体"/>
          <w:sz w:val="24"/>
          <w:szCs w:val="24"/>
        </w:rPr>
        <w:fldChar w:fldCharType="separate"/>
      </w:r>
      <w:r>
        <w:rPr>
          <w:rFonts w:ascii="宋体" w:hAnsi="宋体"/>
          <w:sz w:val="24"/>
          <w:szCs w:val="24"/>
        </w:rPr>
        <w:t>48</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"_Toc139103800" </w:instrText>
      </w:r>
      <w:r>
        <w:fldChar w:fldCharType="separate"/>
      </w:r>
      <w:r>
        <w:rPr>
          <w:rStyle w:val="22"/>
          <w:rFonts w:hint="eastAsia" w:ascii="宋体" w:hAnsi="宋体" w:cs="Times New Roman"/>
          <w:kern w:val="0"/>
          <w:sz w:val="24"/>
          <w:szCs w:val="24"/>
        </w:rPr>
        <w:t>三、商务要求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_Toc139103800 \h </w:instrText>
      </w:r>
      <w:r>
        <w:rPr>
          <w:rFonts w:ascii="宋体" w:hAnsi="宋体"/>
          <w:sz w:val="24"/>
          <w:szCs w:val="24"/>
        </w:rPr>
        <w:fldChar w:fldCharType="separate"/>
      </w:r>
      <w:r>
        <w:rPr>
          <w:rFonts w:ascii="宋体" w:hAnsi="宋体"/>
          <w:sz w:val="24"/>
          <w:szCs w:val="24"/>
        </w:rPr>
        <w:t>55</w:t>
      </w:r>
      <w:r>
        <w:rPr>
          <w:rFonts w:ascii="宋体" w:hAnsi="宋体"/>
          <w:sz w:val="24"/>
          <w:szCs w:val="24"/>
        </w:rPr>
        <w:fldChar w:fldCharType="end"/>
      </w:r>
      <w:r>
        <w:rPr>
          <w:rFonts w:ascii="宋体" w:hAnsi="宋体"/>
          <w:sz w:val="24"/>
          <w:szCs w:val="24"/>
        </w:rPr>
        <w:fldChar w:fldCharType="end"/>
      </w:r>
    </w:p>
    <w:p>
      <w:pPr>
        <w:pStyle w:val="15"/>
        <w:tabs>
          <w:tab w:val="right" w:leader="dot" w:pos="9060"/>
        </w:tabs>
        <w:spacing w:line="360" w:lineRule="auto"/>
        <w:rPr>
          <w:rFonts w:ascii="宋体" w:hAnsi="宋体"/>
          <w:sz w:val="24"/>
          <w:szCs w:val="24"/>
        </w:rPr>
      </w:pPr>
      <w:r>
        <w:fldChar w:fldCharType="begin"/>
      </w:r>
      <w:r>
        <w:instrText xml:space="preserve"> HYPERLINK \l "_Toc139103801" </w:instrText>
      </w:r>
      <w:r>
        <w:fldChar w:fldCharType="separate"/>
      </w:r>
      <w:r>
        <w:rPr>
          <w:rStyle w:val="22"/>
          <w:rFonts w:hint="eastAsia" w:ascii="宋体" w:hAnsi="宋体" w:cs="Times New Roman"/>
          <w:kern w:val="0"/>
          <w:sz w:val="24"/>
          <w:szCs w:val="24"/>
        </w:rPr>
        <w:t>四、其他事项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_Toc139103801 \h </w:instrText>
      </w:r>
      <w:r>
        <w:rPr>
          <w:rFonts w:ascii="宋体" w:hAnsi="宋体"/>
          <w:sz w:val="24"/>
          <w:szCs w:val="24"/>
        </w:rPr>
        <w:fldChar w:fldCharType="separate"/>
      </w:r>
      <w:r>
        <w:rPr>
          <w:rFonts w:ascii="宋体" w:hAnsi="宋体"/>
          <w:sz w:val="24"/>
          <w:szCs w:val="24"/>
        </w:rPr>
        <w:t>70</w:t>
      </w:r>
      <w:r>
        <w:rPr>
          <w:rFonts w:ascii="宋体" w:hAnsi="宋体"/>
          <w:sz w:val="24"/>
          <w:szCs w:val="24"/>
        </w:rPr>
        <w:fldChar w:fldCharType="end"/>
      </w:r>
      <w:r>
        <w:rPr>
          <w:rFonts w:ascii="宋体" w:hAnsi="宋体"/>
          <w:sz w:val="24"/>
          <w:szCs w:val="24"/>
        </w:rPr>
        <w:fldChar w:fldCharType="end"/>
      </w:r>
    </w:p>
    <w:p>
      <w:pPr>
        <w:pStyle w:val="14"/>
        <w:tabs>
          <w:tab w:val="right" w:leader="dot" w:pos="9060"/>
        </w:tabs>
        <w:spacing w:line="360" w:lineRule="auto"/>
        <w:rPr>
          <w:rFonts w:ascii="宋体" w:hAnsi="宋体"/>
          <w:sz w:val="24"/>
          <w:szCs w:val="24"/>
        </w:rPr>
      </w:pPr>
      <w:r>
        <w:fldChar w:fldCharType="begin"/>
      </w:r>
      <w:r>
        <w:instrText xml:space="preserve"> HYPERLINK \l "_Toc139103802" </w:instrText>
      </w:r>
      <w:r>
        <w:fldChar w:fldCharType="separate"/>
      </w:r>
      <w:r>
        <w:rPr>
          <w:rStyle w:val="22"/>
          <w:rFonts w:hint="eastAsia" w:ascii="宋体" w:hAnsi="宋体" w:cs="Times New Roman"/>
          <w:kern w:val="0"/>
          <w:sz w:val="24"/>
          <w:szCs w:val="24"/>
        </w:rPr>
        <w:t>第六章</w:t>
      </w:r>
      <w:r>
        <w:rPr>
          <w:rStyle w:val="22"/>
          <w:rFonts w:ascii="宋体" w:hAnsi="宋体" w:cs="Times New Roman"/>
          <w:kern w:val="0"/>
          <w:sz w:val="24"/>
          <w:szCs w:val="24"/>
        </w:rPr>
        <w:t xml:space="preserve">  </w:t>
      </w:r>
      <w:r>
        <w:rPr>
          <w:rStyle w:val="22"/>
          <w:rFonts w:hint="eastAsia" w:ascii="宋体" w:hAnsi="宋体" w:cs="Times New Roman"/>
          <w:kern w:val="0"/>
          <w:sz w:val="24"/>
          <w:szCs w:val="24"/>
        </w:rPr>
        <w:t>政府采购合同</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_Toc139103802 \h </w:instrText>
      </w:r>
      <w:r>
        <w:rPr>
          <w:rFonts w:ascii="宋体" w:hAnsi="宋体"/>
          <w:sz w:val="24"/>
          <w:szCs w:val="24"/>
        </w:rPr>
        <w:fldChar w:fldCharType="separate"/>
      </w:r>
      <w:r>
        <w:rPr>
          <w:rFonts w:ascii="宋体" w:hAnsi="宋体"/>
          <w:sz w:val="24"/>
          <w:szCs w:val="24"/>
        </w:rPr>
        <w:t>72</w:t>
      </w:r>
      <w:r>
        <w:rPr>
          <w:rFonts w:ascii="宋体" w:hAnsi="宋体"/>
          <w:sz w:val="24"/>
          <w:szCs w:val="24"/>
        </w:rPr>
        <w:fldChar w:fldCharType="end"/>
      </w:r>
      <w:r>
        <w:rPr>
          <w:rFonts w:ascii="宋体" w:hAnsi="宋体"/>
          <w:sz w:val="24"/>
          <w:szCs w:val="24"/>
        </w:rPr>
        <w:fldChar w:fldCharType="end"/>
      </w:r>
    </w:p>
    <w:p>
      <w:pPr>
        <w:pStyle w:val="14"/>
        <w:tabs>
          <w:tab w:val="right" w:leader="dot" w:pos="9060"/>
        </w:tabs>
        <w:spacing w:line="360" w:lineRule="auto"/>
        <w:rPr>
          <w:rFonts w:ascii="宋体" w:hAnsi="宋体"/>
          <w:sz w:val="24"/>
          <w:szCs w:val="24"/>
        </w:rPr>
      </w:pPr>
      <w:r>
        <w:fldChar w:fldCharType="begin"/>
      </w:r>
      <w:r>
        <w:instrText xml:space="preserve"> HYPERLINK \l "_Toc139103803" </w:instrText>
      </w:r>
      <w:r>
        <w:fldChar w:fldCharType="separate"/>
      </w:r>
      <w:r>
        <w:rPr>
          <w:rStyle w:val="22"/>
          <w:rFonts w:hint="eastAsia" w:ascii="宋体" w:hAnsi="宋体" w:cs="Times New Roman"/>
          <w:kern w:val="0"/>
          <w:sz w:val="24"/>
          <w:szCs w:val="24"/>
        </w:rPr>
        <w:t>第七章</w:t>
      </w:r>
      <w:r>
        <w:rPr>
          <w:rStyle w:val="22"/>
          <w:rFonts w:ascii="宋体" w:hAnsi="宋体" w:cs="Times New Roman"/>
          <w:kern w:val="0"/>
          <w:sz w:val="24"/>
          <w:szCs w:val="24"/>
        </w:rPr>
        <w:t xml:space="preserve">  </w:t>
      </w:r>
      <w:r>
        <w:rPr>
          <w:rStyle w:val="22"/>
          <w:rFonts w:hint="eastAsia" w:ascii="宋体" w:hAnsi="宋体" w:cs="Times New Roman"/>
          <w:kern w:val="0"/>
          <w:sz w:val="24"/>
          <w:szCs w:val="24"/>
        </w:rPr>
        <w:t>电子投标文件格式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_Toc139103803 \h </w:instrText>
      </w:r>
      <w:r>
        <w:rPr>
          <w:rFonts w:ascii="宋体" w:hAnsi="宋体"/>
          <w:sz w:val="24"/>
          <w:szCs w:val="24"/>
        </w:rPr>
        <w:fldChar w:fldCharType="separate"/>
      </w:r>
      <w:r>
        <w:rPr>
          <w:rFonts w:ascii="宋体" w:hAnsi="宋体"/>
          <w:sz w:val="24"/>
          <w:szCs w:val="24"/>
        </w:rPr>
        <w:t>78</w:t>
      </w:r>
      <w:r>
        <w:rPr>
          <w:rFonts w:ascii="宋体" w:hAnsi="宋体"/>
          <w:sz w:val="24"/>
          <w:szCs w:val="24"/>
        </w:rPr>
        <w:fldChar w:fldCharType="end"/>
      </w:r>
      <w:r>
        <w:rPr>
          <w:rFonts w:ascii="宋体" w:hAnsi="宋体"/>
          <w:sz w:val="24"/>
          <w:szCs w:val="24"/>
        </w:rPr>
        <w:fldChar w:fldCharType="end"/>
      </w:r>
    </w:p>
    <w:p>
      <w:pPr>
        <w:spacing w:line="360" w:lineRule="auto"/>
        <w:rPr>
          <w:rFonts w:ascii="宋体" w:hAnsi="宋体"/>
          <w:sz w:val="24"/>
          <w:szCs w:val="24"/>
        </w:rPr>
      </w:pPr>
      <w:r>
        <w:rPr>
          <w:rFonts w:ascii="宋体" w:hAnsi="宋体"/>
          <w:sz w:val="24"/>
          <w:szCs w:val="24"/>
        </w:rPr>
        <w:fldChar w:fldCharType="end"/>
      </w:r>
    </w:p>
    <w:p/>
    <w:p>
      <w:pPr>
        <w:sectPr>
          <w:pgSz w:w="11906" w:h="16838"/>
          <w:pgMar w:top="1418" w:right="1418" w:bottom="1418" w:left="1418" w:header="851" w:footer="992" w:gutter="0"/>
          <w:cols w:space="720" w:num="1"/>
          <w:docGrid w:type="lines" w:linePitch="312" w:charSpace="0"/>
        </w:sectPr>
      </w:pPr>
    </w:p>
    <w:p>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0" w:name="_Toc139103779"/>
      <w:r>
        <w:rPr>
          <w:rFonts w:ascii="黑体" w:hAnsi="黑体" w:eastAsia="黑体" w:cs="Times New Roman"/>
          <w:kern w:val="0"/>
          <w:sz w:val="32"/>
          <w:szCs w:val="44"/>
        </w:rPr>
        <w:t>第一章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投标邀请</w:t>
      </w:r>
      <w:bookmarkEnd w:id="0"/>
    </w:p>
    <w:p>
      <w:pPr>
        <w:pStyle w:val="55"/>
        <w:widowControl w:val="0"/>
        <w:spacing w:line="360" w:lineRule="auto"/>
        <w:ind w:firstLine="480" w:firstLineChars="200"/>
        <w:jc w:val="both"/>
        <w:rPr>
          <w:rFonts w:hint="default" w:ascii="宋体" w:hAnsi="宋体"/>
          <w:sz w:val="24"/>
          <w:szCs w:val="24"/>
        </w:rPr>
      </w:pPr>
      <w:r>
        <w:rPr>
          <w:rFonts w:hint="eastAsia" w:ascii="宋体" w:hAnsi="宋体"/>
          <w:sz w:val="24"/>
          <w:szCs w:val="24"/>
          <w:lang w:eastAsia="zh-CN"/>
        </w:rPr>
        <w:t>厦门市公物投资管理有限公司</w:t>
      </w:r>
      <w:r>
        <w:rPr>
          <w:rFonts w:ascii="宋体" w:hAnsi="宋体"/>
          <w:sz w:val="24"/>
          <w:szCs w:val="24"/>
        </w:rPr>
        <w:t>采用公开招标方式组织</w:t>
      </w:r>
      <w:r>
        <w:rPr>
          <w:rFonts w:hint="eastAsia" w:ascii="宋体" w:hAnsi="宋体"/>
          <w:b/>
          <w:bCs/>
          <w:sz w:val="24"/>
          <w:szCs w:val="24"/>
          <w:u w:val="single"/>
          <w:lang w:eastAsia="zh-CN"/>
        </w:rPr>
        <w:t>彩超一批</w:t>
      </w:r>
      <w:r>
        <w:rPr>
          <w:rFonts w:ascii="宋体" w:hAnsi="宋体"/>
          <w:sz w:val="24"/>
          <w:szCs w:val="24"/>
        </w:rPr>
        <w:t>（以下简称：“本项目”）的政府采购活动，现邀请供应商参加投标。</w:t>
      </w:r>
    </w:p>
    <w:p>
      <w:pPr>
        <w:pStyle w:val="55"/>
        <w:widowControl w:val="0"/>
        <w:spacing w:line="360" w:lineRule="auto"/>
        <w:ind w:firstLine="480" w:firstLineChars="200"/>
        <w:rPr>
          <w:rFonts w:hint="eastAsia" w:ascii="宋体" w:hAnsi="宋体" w:eastAsia="宋体"/>
          <w:sz w:val="24"/>
          <w:szCs w:val="24"/>
          <w:lang w:eastAsia="zh-CN"/>
        </w:rPr>
      </w:pPr>
      <w:r>
        <w:rPr>
          <w:rFonts w:ascii="宋体" w:hAnsi="宋体"/>
          <w:sz w:val="24"/>
          <w:szCs w:val="24"/>
        </w:rPr>
        <w:t>1、备案编号：</w:t>
      </w:r>
      <w:r>
        <w:rPr>
          <w:rFonts w:hint="eastAsia" w:ascii="宋体" w:hAnsi="宋体"/>
          <w:sz w:val="24"/>
          <w:szCs w:val="24"/>
          <w:lang w:eastAsia="zh-CN"/>
        </w:rPr>
        <w:t>CGXM-2023-350201-01663[2023]00788</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2、项目编号：[350201]GWTZ[GK]2023022</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3、预算金额、最高限价：详见《采购标的一览表》。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4、招标内容及要求：详见《采购标的一览表》及招标文件第五章。</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5、需要落实的政府采购政策</w:t>
      </w:r>
    </w:p>
    <w:p>
      <w:pPr>
        <w:pStyle w:val="55"/>
        <w:widowControl w:val="0"/>
        <w:spacing w:line="360" w:lineRule="auto"/>
        <w:ind w:firstLine="480" w:firstLineChars="200"/>
        <w:rPr>
          <w:rFonts w:hint="default" w:ascii="宋体" w:hAnsi="宋体"/>
          <w:sz w:val="24"/>
          <w:szCs w:val="24"/>
          <w:highlight w:val="none"/>
        </w:rPr>
      </w:pPr>
      <w:r>
        <w:rPr>
          <w:rFonts w:ascii="宋体" w:hAnsi="宋体"/>
          <w:sz w:val="24"/>
          <w:szCs w:val="24"/>
        </w:rPr>
        <w:t>进口产品：本</w:t>
      </w:r>
      <w:r>
        <w:rPr>
          <w:rFonts w:ascii="宋体" w:hAnsi="宋体"/>
          <w:sz w:val="24"/>
          <w:szCs w:val="24"/>
          <w:highlight w:val="none"/>
        </w:rPr>
        <w:t>项目不接受进口产品参与投标。</w:t>
      </w:r>
    </w:p>
    <w:p>
      <w:pPr>
        <w:pStyle w:val="55"/>
        <w:widowControl w:val="0"/>
        <w:spacing w:line="360" w:lineRule="auto"/>
        <w:ind w:firstLine="480" w:firstLineChars="200"/>
        <w:rPr>
          <w:rFonts w:hint="default" w:ascii="宋体" w:hAnsi="宋体"/>
          <w:sz w:val="24"/>
          <w:szCs w:val="24"/>
          <w:highlight w:val="none"/>
        </w:rPr>
      </w:pPr>
      <w:r>
        <w:rPr>
          <w:rFonts w:ascii="宋体" w:hAnsi="宋体"/>
          <w:sz w:val="24"/>
          <w:szCs w:val="24"/>
          <w:highlight w:val="none"/>
        </w:rPr>
        <w:t>节能产品：按照节能产品政府采购品目清单执行。</w:t>
      </w:r>
    </w:p>
    <w:p>
      <w:pPr>
        <w:pStyle w:val="55"/>
        <w:widowControl w:val="0"/>
        <w:spacing w:line="360" w:lineRule="auto"/>
        <w:ind w:firstLine="480" w:firstLineChars="200"/>
        <w:rPr>
          <w:rFonts w:hint="default" w:ascii="宋体" w:hAnsi="宋体"/>
          <w:sz w:val="24"/>
          <w:szCs w:val="24"/>
          <w:highlight w:val="none"/>
        </w:rPr>
      </w:pPr>
      <w:r>
        <w:rPr>
          <w:rFonts w:ascii="宋体" w:hAnsi="宋体"/>
          <w:sz w:val="24"/>
          <w:szCs w:val="24"/>
          <w:highlight w:val="none"/>
        </w:rPr>
        <w:t>环境标志产品：按照环境标志产品政府采购品目清单执行。</w:t>
      </w:r>
    </w:p>
    <w:p>
      <w:pPr>
        <w:pStyle w:val="55"/>
        <w:widowControl w:val="0"/>
        <w:spacing w:line="360" w:lineRule="auto"/>
        <w:ind w:firstLine="480" w:firstLineChars="200"/>
        <w:rPr>
          <w:rFonts w:hint="default" w:ascii="宋体" w:hAnsi="宋体"/>
          <w:sz w:val="24"/>
          <w:szCs w:val="24"/>
          <w:highlight w:val="none"/>
        </w:rPr>
      </w:pPr>
      <w:r>
        <w:rPr>
          <w:rFonts w:ascii="宋体" w:hAnsi="宋体"/>
          <w:sz w:val="24"/>
          <w:szCs w:val="24"/>
          <w:highlight w:val="none"/>
        </w:rPr>
        <w:t>信息安全产品：按照《关于调整网络安全专用产品安全管理有关事项的公告》（2023年第1号）要求执行。</w:t>
      </w:r>
    </w:p>
    <w:p>
      <w:pPr>
        <w:pStyle w:val="55"/>
        <w:widowControl w:val="0"/>
        <w:spacing w:line="360" w:lineRule="auto"/>
        <w:ind w:firstLine="480" w:firstLineChars="200"/>
        <w:rPr>
          <w:rFonts w:hint="default" w:ascii="宋体" w:hAnsi="宋体"/>
          <w:sz w:val="24"/>
          <w:szCs w:val="24"/>
          <w:highlight w:val="none"/>
        </w:rPr>
      </w:pPr>
      <w:r>
        <w:rPr>
          <w:rFonts w:ascii="宋体" w:hAnsi="宋体"/>
          <w:sz w:val="24"/>
          <w:szCs w:val="24"/>
          <w:highlight w:val="none"/>
        </w:rPr>
        <w:t>促进中小企业发展的相关政策：</w:t>
      </w:r>
    </w:p>
    <w:p>
      <w:pPr>
        <w:pStyle w:val="55"/>
        <w:widowControl w:val="0"/>
        <w:spacing w:line="360" w:lineRule="auto"/>
        <w:ind w:firstLine="480" w:firstLineChars="200"/>
        <w:rPr>
          <w:rFonts w:hint="default" w:ascii="宋体" w:hAnsi="宋体"/>
          <w:sz w:val="24"/>
          <w:szCs w:val="24"/>
          <w:highlight w:val="none"/>
        </w:rPr>
      </w:pPr>
      <w:r>
        <w:rPr>
          <w:rFonts w:ascii="宋体" w:hAnsi="宋体"/>
          <w:sz w:val="24"/>
          <w:szCs w:val="24"/>
          <w:highlight w:val="none"/>
        </w:rPr>
        <w:t>采购包1：不专门面向中小企业采购</w:t>
      </w:r>
    </w:p>
    <w:p>
      <w:pPr>
        <w:pStyle w:val="55"/>
        <w:widowControl w:val="0"/>
        <w:spacing w:line="360" w:lineRule="auto"/>
        <w:ind w:firstLine="480" w:firstLineChars="200"/>
        <w:rPr>
          <w:rFonts w:hint="default" w:ascii="宋体" w:hAnsi="宋体"/>
          <w:sz w:val="24"/>
          <w:szCs w:val="24"/>
        </w:rPr>
      </w:pPr>
    </w:p>
    <w:p>
      <w:pPr>
        <w:pStyle w:val="55"/>
        <w:widowControl w:val="0"/>
        <w:spacing w:line="360" w:lineRule="auto"/>
        <w:ind w:firstLine="480" w:firstLineChars="200"/>
        <w:rPr>
          <w:rFonts w:hint="default" w:ascii="宋体" w:hAnsi="宋体"/>
          <w:sz w:val="24"/>
          <w:szCs w:val="24"/>
        </w:rPr>
      </w:pPr>
      <w:r>
        <w:rPr>
          <w:rFonts w:ascii="宋体" w:hAnsi="宋体"/>
          <w:sz w:val="24"/>
          <w:szCs w:val="24"/>
        </w:rPr>
        <w:t>6、投标人的资格要求</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6.1法定条件：符合政府采购法第二十二条第一款规定的条件。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6.2特定条件：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采购包1：</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37"/>
        <w:gridCol w:w="55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noWrap w:val="0"/>
            <w:vAlign w:val="center"/>
          </w:tcPr>
          <w:p>
            <w:pPr>
              <w:spacing w:line="360" w:lineRule="auto"/>
              <w:jc w:val="center"/>
              <w:rPr>
                <w:sz w:val="24"/>
                <w:szCs w:val="24"/>
              </w:rPr>
            </w:pPr>
            <w:r>
              <w:rPr>
                <w:sz w:val="24"/>
                <w:szCs w:val="24"/>
              </w:rPr>
              <w:t>资格审查要求概况</w:t>
            </w:r>
          </w:p>
        </w:tc>
        <w:tc>
          <w:tcPr>
            <w:tcW w:w="5569" w:type="dxa"/>
            <w:noWrap w:val="0"/>
            <w:vAlign w:val="center"/>
          </w:tcPr>
          <w:p>
            <w:pPr>
              <w:spacing w:line="360" w:lineRule="auto"/>
              <w:jc w:val="center"/>
              <w:rPr>
                <w:sz w:val="24"/>
                <w:szCs w:val="24"/>
              </w:rPr>
            </w:pPr>
            <w:r>
              <w:rPr>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第四章资格审查与评标“序号8信用记录 </w:t>
            </w:r>
          </w:p>
          <w:p>
            <w:pPr>
              <w:spacing w:line="360" w:lineRule="auto"/>
              <w:jc w:val="center"/>
              <w:rPr>
                <w:sz w:val="24"/>
                <w:szCs w:val="24"/>
              </w:rPr>
            </w:pPr>
            <w:r>
              <w:rPr>
                <w:rFonts w:hint="eastAsia" w:ascii="宋体" w:hAnsi="宋体" w:eastAsia="宋体" w:cs="宋体"/>
                <w:sz w:val="24"/>
                <w:szCs w:val="24"/>
                <w:lang w:val="en-US" w:eastAsia="zh-CN"/>
              </w:rPr>
              <w:t>查询结果”补充说明</w:t>
            </w:r>
          </w:p>
        </w:tc>
        <w:tc>
          <w:tcPr>
            <w:tcW w:w="5569" w:type="dxa"/>
            <w:noWrap w:val="0"/>
            <w:vAlign w:val="center"/>
          </w:tcPr>
          <w:p>
            <w:pPr>
              <w:spacing w:line="360" w:lineRule="auto"/>
              <w:rPr>
                <w:rFonts w:ascii="宋体" w:hAnsi="宋体"/>
                <w:sz w:val="24"/>
                <w:szCs w:val="24"/>
              </w:rPr>
            </w:pPr>
            <w:r>
              <w:rPr>
                <w:rFonts w:hint="eastAsia" w:ascii="宋体" w:hAnsi="宋体"/>
                <w:sz w:val="24"/>
                <w:szCs w:val="24"/>
                <w:lang w:val="en-US" w:eastAsia="zh-CN"/>
              </w:rPr>
              <w:t xml:space="preserve">招标文件第四章资格审查与评标“序号8信用记录查询结果”的具体描述要求更正为“1、信用信息查询渠道：通过“信用中国”网站（www.creditchina.go </w:t>
            </w:r>
          </w:p>
          <w:p>
            <w:pPr>
              <w:spacing w:line="360" w:lineRule="auto"/>
              <w:rPr>
                <w:sz w:val="24"/>
                <w:szCs w:val="24"/>
              </w:rPr>
            </w:pPr>
            <w:r>
              <w:rPr>
                <w:rFonts w:hint="eastAsia" w:ascii="宋体" w:hAnsi="宋体"/>
                <w:sz w:val="24"/>
                <w:szCs w:val="24"/>
                <w:lang w:val="en-US" w:eastAsia="zh-CN"/>
              </w:rPr>
              <w:t>v.cn）、中国政府采购网（www.ccgp.gov.cn）、 “信用厦门”网站（credit.xm.gov.cn）查询所有供应商的信用信息。 2、截止时点：查询供应商截止开标当天前三年内的信用信息。 3、查询记录和证据留存方式：将查询结果网页打印后随采购文件一并存档。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5、供应商无需提供信用信息查询结果。若供应商自行提供查询结果的，仍以评标当天查询结果为准。”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noWrap w:val="0"/>
            <w:vAlign w:val="center"/>
          </w:tcPr>
          <w:p>
            <w:pPr>
              <w:widowControl/>
              <w:spacing w:line="360" w:lineRule="auto"/>
              <w:jc w:val="center"/>
              <w:rPr>
                <w:rFonts w:ascii="宋体" w:hAnsi="宋体" w:cs="宋体"/>
                <w:kern w:val="0"/>
                <w:sz w:val="24"/>
                <w:szCs w:val="20"/>
                <w:highlight w:val="none"/>
              </w:rPr>
            </w:pPr>
            <w:r>
              <w:rPr>
                <w:rFonts w:hint="eastAsia" w:ascii="宋体" w:hAnsi="宋体" w:cs="宋体"/>
                <w:kern w:val="0"/>
                <w:sz w:val="24"/>
                <w:szCs w:val="20"/>
                <w:highlight w:val="none"/>
              </w:rPr>
              <w:t>“信用承诺制”要求</w:t>
            </w:r>
          </w:p>
        </w:tc>
        <w:tc>
          <w:tcPr>
            <w:tcW w:w="5569" w:type="dxa"/>
            <w:noWrap w:val="0"/>
            <w:vAlign w:val="center"/>
          </w:tcPr>
          <w:p>
            <w:pPr>
              <w:widowControl/>
              <w:spacing w:line="360" w:lineRule="auto"/>
              <w:rPr>
                <w:rFonts w:ascii="宋体" w:hAnsi="宋体" w:cs="宋体"/>
                <w:kern w:val="0"/>
                <w:sz w:val="24"/>
                <w:szCs w:val="20"/>
                <w:highlight w:val="none"/>
              </w:rPr>
            </w:pPr>
            <w:r>
              <w:rPr>
                <w:rFonts w:hint="eastAsia" w:ascii="宋体" w:hAnsi="宋体" w:cs="宋体"/>
                <w:kern w:val="0"/>
                <w:sz w:val="24"/>
                <w:szCs w:val="20"/>
                <w:highlight w:val="none"/>
              </w:rPr>
              <w:t>本项目允许采用“信用承诺制”，根据《厦门市财政局关于进一步减轻供应商参与政府采购活动成本负担的通知》（厦财采〔2021〕5号）规定，投标人提供“资格承诺函”的即可参加采购活动，在投标文件中可不再提供财务状况报告、依法缴纳税收和社会保障资金的相关证明材料。投标人应当遵循诚实信用原则，不得作虚假承诺。投标人承诺不实的，属于提供虚假材料谋取中标，应依法承担相应的法律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Merge w:val="restart"/>
            <w:noWrap w:val="0"/>
            <w:vAlign w:val="center"/>
          </w:tcPr>
          <w:p>
            <w:pPr>
              <w:widowControl/>
              <w:spacing w:line="360" w:lineRule="auto"/>
              <w:jc w:val="center"/>
              <w:rPr>
                <w:rFonts w:ascii="宋体" w:hAnsi="宋体" w:cs="宋体"/>
                <w:kern w:val="0"/>
                <w:sz w:val="24"/>
                <w:szCs w:val="20"/>
                <w:highlight w:val="none"/>
              </w:rPr>
            </w:pPr>
            <w:r>
              <w:rPr>
                <w:rFonts w:ascii="宋体" w:hAnsi="宋体" w:cs="宋体"/>
                <w:kern w:val="0"/>
                <w:sz w:val="24"/>
                <w:szCs w:val="20"/>
                <w:highlight w:val="none"/>
              </w:rPr>
              <w:t>采购人根据采购项目的要求规定的特定条件</w:t>
            </w:r>
          </w:p>
        </w:tc>
        <w:tc>
          <w:tcPr>
            <w:tcW w:w="5569" w:type="dxa"/>
            <w:noWrap w:val="0"/>
            <w:vAlign w:val="center"/>
          </w:tcPr>
          <w:p>
            <w:pPr>
              <w:widowControl/>
              <w:spacing w:line="360" w:lineRule="auto"/>
              <w:rPr>
                <w:rFonts w:ascii="宋体" w:hAnsi="宋体" w:cs="宋体"/>
                <w:kern w:val="0"/>
                <w:sz w:val="24"/>
                <w:szCs w:val="20"/>
                <w:highlight w:val="none"/>
              </w:rPr>
            </w:pPr>
            <w:r>
              <w:rPr>
                <w:rFonts w:hint="eastAsia" w:ascii="宋体" w:hAnsi="宋体" w:cs="宋体"/>
                <w:bCs/>
                <w:kern w:val="0"/>
                <w:sz w:val="24"/>
                <w:highlight w:val="none"/>
              </w:rPr>
              <w:t>1、投标人应根据所投的医疗器械分类，提供以下材料，第一类医疗器械提供《产品备案证明》；第二类、第三类医疗器械提供相应的《医疗器械注册证》。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37" w:type="dxa"/>
            <w:vMerge w:val="continue"/>
            <w:noWrap w:val="0"/>
            <w:vAlign w:val="center"/>
          </w:tcPr>
          <w:p>
            <w:pPr>
              <w:widowControl/>
              <w:spacing w:line="360" w:lineRule="auto"/>
              <w:jc w:val="center"/>
              <w:rPr>
                <w:rFonts w:ascii="宋体" w:hAnsi="宋体" w:cs="宋体"/>
                <w:kern w:val="0"/>
                <w:sz w:val="24"/>
                <w:szCs w:val="20"/>
                <w:highlight w:val="none"/>
              </w:rPr>
            </w:pPr>
          </w:p>
        </w:tc>
        <w:tc>
          <w:tcPr>
            <w:tcW w:w="5569" w:type="dxa"/>
            <w:noWrap w:val="0"/>
            <w:vAlign w:val="center"/>
          </w:tcPr>
          <w:p>
            <w:pPr>
              <w:widowControl/>
              <w:spacing w:line="360" w:lineRule="auto"/>
              <w:rPr>
                <w:rFonts w:hint="eastAsia" w:ascii="宋体" w:hAnsi="宋体" w:cs="宋体"/>
                <w:kern w:val="0"/>
                <w:sz w:val="24"/>
                <w:szCs w:val="20"/>
                <w:highlight w:val="none"/>
              </w:rPr>
            </w:pPr>
            <w:r>
              <w:rPr>
                <w:rFonts w:hint="eastAsia" w:ascii="宋体" w:hAnsi="宋体" w:cs="宋体"/>
                <w:bCs/>
                <w:kern w:val="0"/>
                <w:sz w:val="24"/>
                <w:highlight w:val="none"/>
              </w:rPr>
              <w:t>2、投标人所投的医疗器械若含有第二类医疗器械的，投标人应提供其《医疗器械经营备案凭证》；若含有第三类医疗器械的，投标人应提供其《医疗器械经营许可证》。</w:t>
            </w:r>
          </w:p>
        </w:tc>
      </w:tr>
    </w:tbl>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6.3是否接受联合体投标：</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采购包1：</w:t>
      </w:r>
      <w:r>
        <w:rPr>
          <w:rFonts w:ascii="宋体" w:hAnsi="宋体"/>
          <w:sz w:val="24"/>
          <w:szCs w:val="24"/>
          <w:highlight w:val="none"/>
        </w:rPr>
        <w:t>不接受。</w:t>
      </w:r>
    </w:p>
    <w:p>
      <w:pPr>
        <w:pStyle w:val="55"/>
        <w:widowControl w:val="0"/>
        <w:spacing w:line="360" w:lineRule="auto"/>
        <w:ind w:firstLine="482" w:firstLineChars="200"/>
        <w:jc w:val="both"/>
        <w:rPr>
          <w:rFonts w:hint="default" w:ascii="宋体" w:hAnsi="宋体"/>
          <w:sz w:val="24"/>
          <w:szCs w:val="24"/>
        </w:rPr>
      </w:pPr>
      <w:r>
        <w:rPr>
          <w:rFonts w:ascii="宋体" w:hAnsi="宋体"/>
          <w:b/>
          <w:sz w:val="24"/>
          <w:szCs w:val="24"/>
        </w:rPr>
        <w:t>※根据上述资格要求，电子投标文件中应提交的“投标人的资格及资信证明文件”详见招标文件第四章。</w:t>
      </w:r>
    </w:p>
    <w:p>
      <w:pPr>
        <w:pStyle w:val="55"/>
        <w:widowControl w:val="0"/>
        <w:spacing w:line="360" w:lineRule="auto"/>
        <w:ind w:firstLine="482" w:firstLineChars="200"/>
        <w:rPr>
          <w:rFonts w:hint="default" w:ascii="宋体" w:hAnsi="宋体"/>
          <w:b/>
          <w:sz w:val="24"/>
          <w:szCs w:val="24"/>
        </w:rPr>
      </w:pPr>
      <w:r>
        <w:rPr>
          <w:rFonts w:ascii="宋体" w:hAnsi="宋体"/>
          <w:b/>
          <w:sz w:val="24"/>
          <w:szCs w:val="24"/>
        </w:rPr>
        <w:t>7、招标文件的获取</w:t>
      </w:r>
    </w:p>
    <w:p>
      <w:pPr>
        <w:pStyle w:val="55"/>
        <w:spacing w:line="360" w:lineRule="auto"/>
        <w:ind w:firstLine="480" w:firstLineChars="200"/>
        <w:jc w:val="both"/>
        <w:rPr>
          <w:rFonts w:hint="default" w:ascii="宋体" w:hAnsi="宋体"/>
          <w:sz w:val="24"/>
          <w:szCs w:val="24"/>
        </w:rPr>
      </w:pPr>
      <w:r>
        <w:rPr>
          <w:rFonts w:ascii="宋体" w:hAnsi="宋体"/>
          <w:sz w:val="24"/>
          <w:szCs w:val="24"/>
        </w:rPr>
        <w:t>7.1、招标文件获取期限：详见招标公告或更正公告，若不一致，以更正公告为准。</w:t>
      </w:r>
    </w:p>
    <w:p>
      <w:pPr>
        <w:pStyle w:val="55"/>
        <w:spacing w:line="360" w:lineRule="auto"/>
        <w:ind w:firstLine="480" w:firstLineChars="200"/>
        <w:jc w:val="both"/>
        <w:rPr>
          <w:rFonts w:hint="default" w:ascii="宋体" w:hAnsi="宋体"/>
          <w:sz w:val="24"/>
          <w:szCs w:val="24"/>
        </w:rPr>
      </w:pPr>
      <w:r>
        <w:rPr>
          <w:rFonts w:ascii="宋体" w:hAnsi="宋体"/>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pPr>
        <w:pStyle w:val="55"/>
        <w:spacing w:line="360" w:lineRule="auto"/>
        <w:ind w:firstLine="480" w:firstLineChars="200"/>
        <w:jc w:val="both"/>
        <w:rPr>
          <w:rFonts w:hint="default" w:ascii="宋体" w:hAnsi="宋体"/>
          <w:sz w:val="24"/>
          <w:szCs w:val="24"/>
        </w:rPr>
      </w:pPr>
      <w:r>
        <w:rPr>
          <w:rFonts w:ascii="宋体" w:hAnsi="宋体"/>
          <w:sz w:val="24"/>
          <w:szCs w:val="24"/>
        </w:rPr>
        <w:t>7.3、获取地点及方式：注册账号后，通过福建省政府采购网上公开信息系统以下载方式获取。</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7.4、招标文件售价：0元。</w:t>
      </w:r>
    </w:p>
    <w:p>
      <w:pPr>
        <w:pStyle w:val="55"/>
        <w:widowControl w:val="0"/>
        <w:spacing w:line="360" w:lineRule="auto"/>
        <w:ind w:firstLine="482" w:firstLineChars="200"/>
        <w:jc w:val="both"/>
        <w:rPr>
          <w:rFonts w:hint="default" w:ascii="宋体" w:hAnsi="宋体"/>
          <w:b/>
          <w:sz w:val="24"/>
          <w:szCs w:val="24"/>
        </w:rPr>
      </w:pPr>
      <w:r>
        <w:rPr>
          <w:rFonts w:ascii="宋体" w:hAnsi="宋体"/>
          <w:b/>
          <w:sz w:val="24"/>
          <w:szCs w:val="24"/>
        </w:rPr>
        <w:t>8、投标截止</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8.1、投标截止时间：详见招标公告或更正公告，若不一致，以更正公告为准。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8.2、投标人应在投标截止时间前按照福建省政府采购网上公开信息系统设定的操作流程将电子投标文件上传至福建省政府采购网上公开信息系统，否则投标将被拒绝。</w:t>
      </w:r>
    </w:p>
    <w:p>
      <w:pPr>
        <w:pStyle w:val="55"/>
        <w:widowControl w:val="0"/>
        <w:spacing w:line="360" w:lineRule="auto"/>
        <w:ind w:firstLine="482" w:firstLineChars="200"/>
        <w:rPr>
          <w:rFonts w:hint="default" w:ascii="宋体" w:hAnsi="宋体"/>
          <w:b/>
          <w:sz w:val="24"/>
          <w:szCs w:val="24"/>
        </w:rPr>
      </w:pPr>
      <w:r>
        <w:rPr>
          <w:rFonts w:ascii="宋体" w:hAnsi="宋体"/>
          <w:b/>
          <w:sz w:val="24"/>
          <w:szCs w:val="24"/>
        </w:rPr>
        <w:t>9、开标时间及地点</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详见招标公告或更正公告，若不一致，以更正公告为准。</w:t>
      </w:r>
    </w:p>
    <w:p>
      <w:pPr>
        <w:pStyle w:val="55"/>
        <w:widowControl w:val="0"/>
        <w:spacing w:line="360" w:lineRule="auto"/>
        <w:ind w:firstLine="482" w:firstLineChars="200"/>
        <w:rPr>
          <w:rFonts w:hint="default" w:ascii="宋体" w:hAnsi="宋体"/>
          <w:b/>
          <w:sz w:val="24"/>
          <w:szCs w:val="24"/>
        </w:rPr>
      </w:pPr>
      <w:r>
        <w:rPr>
          <w:rFonts w:ascii="宋体" w:hAnsi="宋体"/>
          <w:b/>
          <w:sz w:val="24"/>
          <w:szCs w:val="24"/>
        </w:rPr>
        <w:t>10、公告期限</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10.1、招标公告的公告期限：自财政部和福建省财政厅指定的政府采购信息发布媒体最先发布公告之日起5个工作日。</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10.2、招标文件公告期限：招标文件随同招标公告一并发布，其公告期限与招标公告的公告期限保持一致。</w:t>
      </w:r>
    </w:p>
    <w:p>
      <w:pPr>
        <w:pStyle w:val="55"/>
        <w:widowControl w:val="0"/>
        <w:spacing w:line="360" w:lineRule="auto"/>
        <w:ind w:firstLine="482" w:firstLineChars="200"/>
        <w:rPr>
          <w:rFonts w:hint="eastAsia" w:ascii="宋体" w:hAnsi="宋体" w:eastAsia="宋体"/>
          <w:sz w:val="24"/>
          <w:szCs w:val="24"/>
          <w:lang w:eastAsia="zh-CN"/>
        </w:rPr>
      </w:pPr>
      <w:r>
        <w:rPr>
          <w:rFonts w:ascii="宋体" w:hAnsi="宋体"/>
          <w:b/>
          <w:sz w:val="24"/>
          <w:szCs w:val="24"/>
        </w:rPr>
        <w:t>11、采购人：</w:t>
      </w:r>
      <w:r>
        <w:rPr>
          <w:rFonts w:hint="eastAsia" w:ascii="宋体" w:hAnsi="宋体"/>
          <w:b/>
          <w:sz w:val="24"/>
          <w:szCs w:val="24"/>
          <w:lang w:eastAsia="zh-CN"/>
        </w:rPr>
        <w:t>厦门市苏颂医院</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地址：</w:t>
      </w:r>
      <w:r>
        <w:rPr>
          <w:rFonts w:ascii="宋体" w:hAnsi="宋体" w:eastAsia="宋体" w:cs="宋体"/>
          <w:kern w:val="0"/>
          <w:sz w:val="24"/>
          <w:highlight w:val="none"/>
        </w:rPr>
        <w:t>厦门市同安区西柯街道通福路988号</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邮编：361003</w:t>
      </w:r>
    </w:p>
    <w:p>
      <w:pPr>
        <w:pStyle w:val="55"/>
        <w:widowControl w:val="0"/>
        <w:spacing w:line="360" w:lineRule="auto"/>
        <w:ind w:firstLine="480" w:firstLineChars="200"/>
        <w:rPr>
          <w:rFonts w:hint="eastAsia" w:ascii="宋体" w:hAnsi="宋体" w:eastAsia="宋体"/>
          <w:sz w:val="24"/>
          <w:szCs w:val="24"/>
          <w:lang w:eastAsia="zh-CN"/>
        </w:rPr>
      </w:pPr>
      <w:r>
        <w:rPr>
          <w:rFonts w:ascii="宋体" w:hAnsi="宋体"/>
          <w:sz w:val="24"/>
          <w:szCs w:val="24"/>
        </w:rPr>
        <w:t>联系人：</w:t>
      </w:r>
      <w:r>
        <w:rPr>
          <w:rFonts w:hint="eastAsia" w:ascii="宋体" w:hAnsi="宋体"/>
          <w:sz w:val="24"/>
          <w:szCs w:val="24"/>
          <w:lang w:val="en-US" w:eastAsia="zh-CN"/>
        </w:rPr>
        <w:t>孙工</w:t>
      </w:r>
    </w:p>
    <w:p>
      <w:pPr>
        <w:pStyle w:val="55"/>
        <w:widowControl w:val="0"/>
        <w:spacing w:line="360" w:lineRule="auto"/>
        <w:ind w:firstLine="480" w:firstLineChars="200"/>
        <w:rPr>
          <w:rFonts w:hint="default" w:ascii="宋体" w:hAnsi="宋体" w:eastAsia="宋体"/>
          <w:sz w:val="24"/>
          <w:szCs w:val="24"/>
          <w:lang w:val="en-US" w:eastAsia="zh-CN"/>
        </w:rPr>
      </w:pPr>
      <w:r>
        <w:rPr>
          <w:rFonts w:ascii="宋体" w:hAnsi="宋体"/>
          <w:sz w:val="24"/>
          <w:szCs w:val="24"/>
        </w:rPr>
        <w:t>联系电话：</w:t>
      </w:r>
      <w:r>
        <w:rPr>
          <w:rFonts w:hint="eastAsia" w:ascii="宋体" w:hAnsi="宋体"/>
          <w:sz w:val="24"/>
          <w:szCs w:val="24"/>
        </w:rPr>
        <w:t>0592</w:t>
      </w:r>
      <w:r>
        <w:rPr>
          <w:rFonts w:hint="eastAsia" w:ascii="宋体" w:hAnsi="宋体"/>
          <w:sz w:val="24"/>
          <w:szCs w:val="24"/>
          <w:lang w:val="en-US" w:eastAsia="zh-CN"/>
        </w:rPr>
        <w:t>-</w:t>
      </w:r>
      <w:r>
        <w:rPr>
          <w:rFonts w:hint="eastAsia" w:ascii="宋体" w:hAnsi="宋体"/>
          <w:sz w:val="24"/>
          <w:szCs w:val="24"/>
        </w:rPr>
        <w:t>2885011</w:t>
      </w:r>
    </w:p>
    <w:p>
      <w:pPr>
        <w:pStyle w:val="55"/>
        <w:widowControl w:val="0"/>
        <w:spacing w:line="360" w:lineRule="auto"/>
        <w:ind w:firstLine="482" w:firstLineChars="200"/>
        <w:rPr>
          <w:rFonts w:hint="eastAsia" w:ascii="宋体" w:hAnsi="宋体" w:eastAsia="宋体"/>
          <w:sz w:val="24"/>
          <w:szCs w:val="24"/>
          <w:highlight w:val="none"/>
          <w:lang w:eastAsia="zh-CN"/>
        </w:rPr>
      </w:pPr>
      <w:r>
        <w:rPr>
          <w:rFonts w:ascii="宋体" w:hAnsi="宋体"/>
          <w:b/>
          <w:sz w:val="24"/>
          <w:szCs w:val="24"/>
        </w:rPr>
        <w:t>1</w:t>
      </w:r>
      <w:r>
        <w:rPr>
          <w:rFonts w:ascii="宋体" w:hAnsi="宋体"/>
          <w:b/>
          <w:sz w:val="24"/>
          <w:szCs w:val="24"/>
          <w:highlight w:val="none"/>
        </w:rPr>
        <w:t>2、代理机构：</w:t>
      </w:r>
      <w:r>
        <w:rPr>
          <w:rFonts w:hint="eastAsia" w:ascii="宋体" w:hAnsi="宋体"/>
          <w:b/>
          <w:sz w:val="24"/>
          <w:szCs w:val="24"/>
          <w:highlight w:val="none"/>
          <w:lang w:eastAsia="zh-CN"/>
        </w:rPr>
        <w:t>厦门市公物投资管理有限公司</w:t>
      </w:r>
    </w:p>
    <w:p>
      <w:pPr>
        <w:pStyle w:val="55"/>
        <w:widowControl w:val="0"/>
        <w:spacing w:line="360" w:lineRule="auto"/>
        <w:ind w:firstLine="480" w:firstLineChars="200"/>
        <w:rPr>
          <w:rFonts w:hint="default" w:ascii="宋体" w:hAnsi="宋体"/>
          <w:b w:val="0"/>
          <w:bCs/>
          <w:sz w:val="24"/>
          <w:szCs w:val="24"/>
          <w:highlight w:val="none"/>
        </w:rPr>
      </w:pPr>
      <w:r>
        <w:rPr>
          <w:rFonts w:hint="default" w:ascii="宋体" w:hAnsi="宋体"/>
          <w:b w:val="0"/>
          <w:bCs/>
          <w:sz w:val="24"/>
          <w:szCs w:val="24"/>
          <w:highlight w:val="none"/>
        </w:rPr>
        <w:t>地址：厦门市思明区湖滨南路81号18楼C单元</w:t>
      </w:r>
    </w:p>
    <w:p>
      <w:pPr>
        <w:pStyle w:val="55"/>
        <w:widowControl w:val="0"/>
        <w:spacing w:line="360" w:lineRule="auto"/>
        <w:ind w:firstLine="480" w:firstLineChars="200"/>
        <w:rPr>
          <w:rFonts w:hint="default" w:ascii="宋体" w:hAnsi="宋体"/>
          <w:b w:val="0"/>
          <w:bCs/>
          <w:sz w:val="24"/>
          <w:szCs w:val="24"/>
          <w:highlight w:val="none"/>
        </w:rPr>
      </w:pPr>
      <w:r>
        <w:rPr>
          <w:rFonts w:hint="default" w:ascii="宋体" w:hAnsi="宋体"/>
          <w:b w:val="0"/>
          <w:bCs/>
          <w:sz w:val="24"/>
          <w:szCs w:val="24"/>
          <w:highlight w:val="none"/>
        </w:rPr>
        <w:t>邮编：361004</w:t>
      </w:r>
    </w:p>
    <w:p>
      <w:pPr>
        <w:pStyle w:val="55"/>
        <w:widowControl w:val="0"/>
        <w:spacing w:line="360" w:lineRule="auto"/>
        <w:ind w:firstLine="480" w:firstLineChars="200"/>
        <w:rPr>
          <w:rFonts w:hint="default" w:ascii="宋体" w:hAnsi="宋体"/>
          <w:b w:val="0"/>
          <w:bCs/>
          <w:sz w:val="24"/>
          <w:szCs w:val="24"/>
          <w:highlight w:val="none"/>
        </w:rPr>
      </w:pPr>
      <w:r>
        <w:rPr>
          <w:rFonts w:hint="default" w:ascii="宋体" w:hAnsi="宋体"/>
          <w:b w:val="0"/>
          <w:bCs/>
          <w:sz w:val="24"/>
          <w:szCs w:val="24"/>
          <w:highlight w:val="none"/>
        </w:rPr>
        <w:t>联系人：</w:t>
      </w:r>
      <w:r>
        <w:rPr>
          <w:rFonts w:hint="eastAsia" w:ascii="宋体" w:hAnsi="宋体"/>
          <w:b w:val="0"/>
          <w:bCs/>
          <w:sz w:val="24"/>
          <w:szCs w:val="24"/>
          <w:highlight w:val="none"/>
          <w:lang w:val="en-US" w:eastAsia="zh-CN"/>
        </w:rPr>
        <w:t>周颖、</w:t>
      </w:r>
      <w:r>
        <w:rPr>
          <w:rFonts w:hint="default" w:ascii="宋体" w:hAnsi="宋体"/>
          <w:b w:val="0"/>
          <w:bCs/>
          <w:sz w:val="24"/>
          <w:szCs w:val="24"/>
          <w:highlight w:val="none"/>
        </w:rPr>
        <w:t>王海舰、黄振斌</w:t>
      </w:r>
    </w:p>
    <w:p>
      <w:pPr>
        <w:pStyle w:val="55"/>
        <w:widowControl w:val="0"/>
        <w:spacing w:line="360" w:lineRule="auto"/>
        <w:ind w:firstLine="480" w:firstLineChars="200"/>
        <w:rPr>
          <w:rFonts w:hint="default" w:ascii="宋体" w:hAnsi="宋体"/>
          <w:b w:val="0"/>
          <w:bCs/>
          <w:sz w:val="24"/>
          <w:szCs w:val="24"/>
          <w:highlight w:val="none"/>
        </w:rPr>
      </w:pPr>
      <w:r>
        <w:rPr>
          <w:rFonts w:hint="default" w:ascii="宋体" w:hAnsi="宋体"/>
          <w:b w:val="0"/>
          <w:bCs/>
          <w:sz w:val="24"/>
          <w:szCs w:val="24"/>
          <w:highlight w:val="none"/>
        </w:rPr>
        <w:t>联系电话：0592-</w:t>
      </w:r>
      <w:r>
        <w:rPr>
          <w:rFonts w:hint="eastAsia" w:ascii="宋体" w:hAnsi="宋体"/>
          <w:b w:val="0"/>
          <w:bCs/>
          <w:sz w:val="24"/>
          <w:szCs w:val="24"/>
          <w:highlight w:val="none"/>
          <w:lang w:val="en-US" w:eastAsia="zh-CN"/>
        </w:rPr>
        <w:t>2279852、</w:t>
      </w:r>
      <w:r>
        <w:rPr>
          <w:rFonts w:hint="default" w:ascii="宋体" w:hAnsi="宋体"/>
          <w:b w:val="0"/>
          <w:bCs/>
          <w:sz w:val="24"/>
          <w:szCs w:val="24"/>
          <w:highlight w:val="none"/>
        </w:rPr>
        <w:t>2225709</w:t>
      </w:r>
    </w:p>
    <w:p>
      <w:pPr>
        <w:pStyle w:val="55"/>
        <w:widowControl w:val="0"/>
        <w:spacing w:line="360" w:lineRule="auto"/>
        <w:ind w:firstLine="482" w:firstLineChars="200"/>
        <w:rPr>
          <w:rFonts w:hint="default" w:ascii="宋体" w:hAnsi="宋体"/>
          <w:b/>
          <w:sz w:val="24"/>
          <w:szCs w:val="24"/>
          <w:highlight w:val="none"/>
        </w:rPr>
      </w:pPr>
      <w:r>
        <w:rPr>
          <w:rFonts w:ascii="宋体" w:hAnsi="宋体"/>
          <w:b/>
          <w:sz w:val="24"/>
          <w:szCs w:val="24"/>
          <w:highlight w:val="none"/>
        </w:rPr>
        <w:t>附1：账户信息</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noWrap w:val="0"/>
            <w:vAlign w:val="center"/>
          </w:tcPr>
          <w:p>
            <w:pPr>
              <w:pStyle w:val="55"/>
              <w:widowControl w:val="0"/>
              <w:spacing w:line="360" w:lineRule="auto"/>
              <w:jc w:val="both"/>
              <w:rPr>
                <w:rFonts w:hint="eastAsia" w:ascii="宋体" w:hAnsi="宋体" w:eastAsia="宋体"/>
                <w:sz w:val="24"/>
                <w:szCs w:val="24"/>
                <w:lang w:eastAsia="zh-CN"/>
              </w:rPr>
            </w:pPr>
            <w:r>
              <w:rPr>
                <w:rFonts w:ascii="宋体" w:hAnsi="宋体"/>
                <w:sz w:val="24"/>
                <w:szCs w:val="24"/>
              </w:rPr>
              <w:t>开户名称：</w:t>
            </w:r>
            <w:r>
              <w:rPr>
                <w:rFonts w:hint="eastAsia" w:ascii="宋体" w:hAnsi="宋体"/>
                <w:sz w:val="24"/>
                <w:szCs w:val="24"/>
                <w:lang w:eastAsia="zh-CN"/>
              </w:rPr>
              <w:t>厦门市公物投资管理有限公司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06" w:type="dxa"/>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1、投标人应认真核对账户信息，将投标保证金汇入以上账户，并自行承担因汇错投标保证金而产生的一切后果。</w:t>
            </w:r>
          </w:p>
          <w:p>
            <w:pPr>
              <w:pStyle w:val="55"/>
              <w:widowControl w:val="0"/>
              <w:spacing w:line="360" w:lineRule="auto"/>
              <w:jc w:val="both"/>
              <w:rPr>
                <w:rFonts w:hint="default" w:ascii="宋体" w:hAnsi="宋体"/>
                <w:sz w:val="24"/>
                <w:szCs w:val="24"/>
              </w:rPr>
            </w:pPr>
            <w:r>
              <w:rPr>
                <w:rFonts w:ascii="宋体" w:hAnsi="宋体"/>
                <w:sz w:val="24"/>
                <w:szCs w:val="24"/>
              </w:rPr>
              <w:t>2、投标人在转账或电汇的凭证上应按照以下格式注明，以便核对：“（项目编号：***）的投标保证金”。</w:t>
            </w:r>
          </w:p>
        </w:tc>
      </w:tr>
    </w:tbl>
    <w:p>
      <w:pPr>
        <w:pStyle w:val="55"/>
        <w:widowControl w:val="0"/>
        <w:spacing w:line="360" w:lineRule="auto"/>
        <w:ind w:firstLine="482" w:firstLineChars="200"/>
        <w:rPr>
          <w:rFonts w:hint="default" w:ascii="宋体" w:hAnsi="宋体"/>
          <w:b/>
          <w:sz w:val="24"/>
          <w:szCs w:val="24"/>
        </w:rPr>
      </w:pPr>
    </w:p>
    <w:p>
      <w:pPr>
        <w:pStyle w:val="55"/>
        <w:widowControl w:val="0"/>
        <w:spacing w:line="360" w:lineRule="auto"/>
        <w:ind w:firstLine="482" w:firstLineChars="200"/>
        <w:rPr>
          <w:rFonts w:hint="default" w:ascii="宋体" w:hAnsi="宋体"/>
          <w:b/>
          <w:sz w:val="24"/>
          <w:szCs w:val="24"/>
        </w:rPr>
      </w:pPr>
      <w:r>
        <w:rPr>
          <w:rFonts w:ascii="宋体" w:hAnsi="宋体"/>
          <w:b/>
          <w:sz w:val="24"/>
          <w:szCs w:val="24"/>
        </w:rPr>
        <w:t>附2：采购标的一览表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采购包1：</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采购包预算金额（元）：3,600,000</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采购包最高限价（元）：3,600,000</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采购包保证金金额（元）：0.00</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5"/>
        <w:gridCol w:w="1609"/>
        <w:gridCol w:w="1187"/>
        <w:gridCol w:w="1776"/>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rFonts w:ascii="宋体" w:hAnsi="宋体"/>
                <w:sz w:val="24"/>
                <w:szCs w:val="24"/>
              </w:rPr>
            </w:pPr>
            <w:r>
              <w:rPr>
                <w:rFonts w:ascii="宋体" w:hAnsi="宋体"/>
                <w:sz w:val="24"/>
                <w:szCs w:val="24"/>
              </w:rPr>
              <w:t>序号</w:t>
            </w:r>
          </w:p>
        </w:tc>
        <w:tc>
          <w:tcPr>
            <w:tcW w:w="1609" w:type="dxa"/>
            <w:noWrap w:val="0"/>
            <w:vAlign w:val="center"/>
          </w:tcPr>
          <w:p>
            <w:pPr>
              <w:spacing w:line="360" w:lineRule="auto"/>
              <w:jc w:val="center"/>
              <w:rPr>
                <w:rFonts w:ascii="宋体" w:hAnsi="宋体"/>
                <w:sz w:val="24"/>
                <w:szCs w:val="24"/>
              </w:rPr>
            </w:pPr>
            <w:r>
              <w:rPr>
                <w:rFonts w:ascii="宋体" w:hAnsi="宋体"/>
                <w:sz w:val="24"/>
                <w:szCs w:val="24"/>
              </w:rPr>
              <w:t>标的名称</w:t>
            </w:r>
          </w:p>
        </w:tc>
        <w:tc>
          <w:tcPr>
            <w:tcW w:w="1187" w:type="dxa"/>
            <w:noWrap w:val="0"/>
            <w:vAlign w:val="center"/>
          </w:tcPr>
          <w:p>
            <w:pPr>
              <w:spacing w:line="360" w:lineRule="auto"/>
              <w:jc w:val="center"/>
              <w:rPr>
                <w:rFonts w:ascii="宋体" w:hAnsi="宋体"/>
                <w:sz w:val="24"/>
                <w:szCs w:val="24"/>
              </w:rPr>
            </w:pPr>
            <w:r>
              <w:rPr>
                <w:rFonts w:ascii="宋体" w:hAnsi="宋体"/>
                <w:sz w:val="24"/>
                <w:szCs w:val="24"/>
              </w:rPr>
              <w:t>数量</w:t>
            </w:r>
          </w:p>
        </w:tc>
        <w:tc>
          <w:tcPr>
            <w:tcW w:w="1776" w:type="dxa"/>
            <w:noWrap w:val="0"/>
            <w:vAlign w:val="center"/>
          </w:tcPr>
          <w:p>
            <w:pPr>
              <w:spacing w:line="360" w:lineRule="auto"/>
              <w:jc w:val="center"/>
              <w:rPr>
                <w:rFonts w:ascii="宋体" w:hAnsi="宋体"/>
                <w:sz w:val="24"/>
                <w:szCs w:val="24"/>
              </w:rPr>
            </w:pPr>
            <w:r>
              <w:rPr>
                <w:rFonts w:ascii="宋体" w:hAnsi="宋体"/>
                <w:sz w:val="24"/>
                <w:szCs w:val="24"/>
              </w:rPr>
              <w:t>标的金额 （元）</w:t>
            </w:r>
          </w:p>
        </w:tc>
        <w:tc>
          <w:tcPr>
            <w:tcW w:w="1187" w:type="dxa"/>
            <w:noWrap w:val="0"/>
            <w:vAlign w:val="center"/>
          </w:tcPr>
          <w:p>
            <w:pPr>
              <w:spacing w:line="360" w:lineRule="auto"/>
              <w:jc w:val="center"/>
              <w:rPr>
                <w:rFonts w:ascii="宋体" w:hAnsi="宋体"/>
                <w:sz w:val="24"/>
                <w:szCs w:val="24"/>
              </w:rPr>
            </w:pPr>
            <w:r>
              <w:rPr>
                <w:rFonts w:ascii="宋体" w:hAnsi="宋体"/>
                <w:sz w:val="24"/>
                <w:szCs w:val="24"/>
              </w:rPr>
              <w:t>计量单位</w:t>
            </w:r>
          </w:p>
        </w:tc>
        <w:tc>
          <w:tcPr>
            <w:tcW w:w="1187" w:type="dxa"/>
            <w:noWrap w:val="0"/>
            <w:vAlign w:val="center"/>
          </w:tcPr>
          <w:p>
            <w:pPr>
              <w:spacing w:line="360" w:lineRule="auto"/>
              <w:jc w:val="center"/>
              <w:rPr>
                <w:rFonts w:ascii="宋体" w:hAnsi="宋体"/>
                <w:sz w:val="24"/>
                <w:szCs w:val="24"/>
              </w:rPr>
            </w:pPr>
            <w:r>
              <w:rPr>
                <w:rFonts w:ascii="宋体" w:hAnsi="宋体"/>
                <w:sz w:val="24"/>
                <w:szCs w:val="24"/>
              </w:rPr>
              <w:t>所属行业</w:t>
            </w:r>
          </w:p>
        </w:tc>
        <w:tc>
          <w:tcPr>
            <w:tcW w:w="1187" w:type="dxa"/>
            <w:noWrap w:val="0"/>
            <w:vAlign w:val="center"/>
          </w:tcPr>
          <w:p>
            <w:pPr>
              <w:spacing w:line="360" w:lineRule="auto"/>
              <w:jc w:val="center"/>
              <w:rPr>
                <w:rFonts w:ascii="宋体" w:hAnsi="宋体"/>
                <w:sz w:val="24"/>
                <w:szCs w:val="24"/>
              </w:rPr>
            </w:pPr>
            <w:r>
              <w:rPr>
                <w:rFonts w:ascii="宋体" w:hAnsi="宋体"/>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65" w:type="dxa"/>
            <w:noWrap w:val="0"/>
            <w:vAlign w:val="center"/>
          </w:tcPr>
          <w:p>
            <w:pPr>
              <w:spacing w:line="360" w:lineRule="auto"/>
              <w:jc w:val="center"/>
              <w:rPr>
                <w:rFonts w:ascii="宋体" w:hAnsi="宋体"/>
                <w:sz w:val="24"/>
                <w:szCs w:val="24"/>
              </w:rPr>
            </w:pPr>
            <w:r>
              <w:rPr>
                <w:rFonts w:ascii="宋体" w:hAnsi="宋体"/>
                <w:sz w:val="24"/>
                <w:szCs w:val="24"/>
              </w:rPr>
              <w:t>1</w:t>
            </w:r>
          </w:p>
        </w:tc>
        <w:tc>
          <w:tcPr>
            <w:tcW w:w="1609" w:type="dxa"/>
            <w:noWrap w:val="0"/>
            <w:vAlign w:val="center"/>
          </w:tcPr>
          <w:p>
            <w:pPr>
              <w:spacing w:line="360" w:lineRule="auto"/>
              <w:jc w:val="center"/>
              <w:rPr>
                <w:rFonts w:ascii="宋体" w:hAnsi="宋体"/>
                <w:sz w:val="24"/>
                <w:szCs w:val="24"/>
              </w:rPr>
            </w:pPr>
            <w:r>
              <w:rPr>
                <w:rFonts w:ascii="宋体" w:hAnsi="宋体"/>
                <w:sz w:val="24"/>
                <w:szCs w:val="24"/>
              </w:rPr>
              <w:t>彩超一批</w:t>
            </w:r>
          </w:p>
        </w:tc>
        <w:tc>
          <w:tcPr>
            <w:tcW w:w="1187" w:type="dxa"/>
            <w:noWrap w:val="0"/>
            <w:vAlign w:val="center"/>
          </w:tcPr>
          <w:p>
            <w:pPr>
              <w:spacing w:line="360" w:lineRule="auto"/>
              <w:jc w:val="center"/>
              <w:rPr>
                <w:rFonts w:ascii="宋体" w:hAnsi="宋体"/>
                <w:sz w:val="24"/>
                <w:szCs w:val="24"/>
              </w:rPr>
            </w:pPr>
            <w:r>
              <w:rPr>
                <w:rFonts w:ascii="宋体" w:hAnsi="宋体"/>
                <w:sz w:val="24"/>
                <w:szCs w:val="24"/>
              </w:rPr>
              <w:t>2</w:t>
            </w:r>
          </w:p>
        </w:tc>
        <w:tc>
          <w:tcPr>
            <w:tcW w:w="1776" w:type="dxa"/>
            <w:noWrap w:val="0"/>
            <w:vAlign w:val="center"/>
          </w:tcPr>
          <w:p>
            <w:pPr>
              <w:spacing w:line="360" w:lineRule="auto"/>
              <w:jc w:val="center"/>
              <w:rPr>
                <w:rFonts w:ascii="宋体" w:hAnsi="宋体"/>
                <w:sz w:val="24"/>
                <w:szCs w:val="24"/>
              </w:rPr>
            </w:pPr>
            <w:r>
              <w:rPr>
                <w:rFonts w:ascii="宋体" w:hAnsi="宋体"/>
                <w:sz w:val="24"/>
                <w:szCs w:val="24"/>
              </w:rPr>
              <w:t>3,600,000</w:t>
            </w:r>
          </w:p>
        </w:tc>
        <w:tc>
          <w:tcPr>
            <w:tcW w:w="1187" w:type="dxa"/>
            <w:noWrap w:val="0"/>
            <w:vAlign w:val="center"/>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套</w:t>
            </w:r>
          </w:p>
        </w:tc>
        <w:tc>
          <w:tcPr>
            <w:tcW w:w="1187" w:type="dxa"/>
            <w:noWrap w:val="0"/>
            <w:vAlign w:val="center"/>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工业</w:t>
            </w:r>
          </w:p>
        </w:tc>
        <w:tc>
          <w:tcPr>
            <w:tcW w:w="1187" w:type="dxa"/>
            <w:noWrap w:val="0"/>
            <w:vAlign w:val="center"/>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否</w:t>
            </w:r>
          </w:p>
        </w:tc>
      </w:tr>
    </w:tbl>
    <w:p>
      <w:pPr>
        <w:pStyle w:val="55"/>
        <w:widowControl w:val="0"/>
        <w:rPr>
          <w:rFonts w:hint="default"/>
        </w:rPr>
      </w:pPr>
    </w:p>
    <w:p>
      <w:pPr>
        <w:pStyle w:val="55"/>
        <w:widowControl w:val="0"/>
        <w:rPr>
          <w:rFonts w:hint="default"/>
        </w:rPr>
        <w:sectPr>
          <w:pgSz w:w="11906" w:h="16838"/>
          <w:pgMar w:top="1418" w:right="1418" w:bottom="1418" w:left="1418" w:header="851" w:footer="992" w:gutter="0"/>
          <w:cols w:space="720" w:num="1"/>
          <w:docGrid w:type="lines" w:linePitch="312" w:charSpace="0"/>
        </w:sectPr>
      </w:pPr>
    </w:p>
    <w:p>
      <w:pPr>
        <w:pStyle w:val="55"/>
        <w:widowControl w:val="0"/>
        <w:rPr>
          <w:rFonts w:hint="default"/>
        </w:rPr>
        <w:sectPr>
          <w:type w:val="continuous"/>
          <w:pgSz w:w="11906" w:h="16838"/>
          <w:pgMar w:top="1418" w:right="1418" w:bottom="1418" w:left="1418" w:header="851" w:footer="992" w:gutter="0"/>
          <w:cols w:space="720" w:num="1"/>
          <w:docGrid w:type="lines" w:linePitch="312" w:charSpace="0"/>
        </w:sectPr>
      </w:pPr>
    </w:p>
    <w:p>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1" w:name="_Toc139103780"/>
      <w:r>
        <w:rPr>
          <w:rFonts w:ascii="黑体" w:hAnsi="黑体" w:eastAsia="黑体" w:cs="Times New Roman"/>
          <w:kern w:val="0"/>
          <w:sz w:val="32"/>
          <w:szCs w:val="44"/>
        </w:rPr>
        <w:t>第二章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投标人须知前附表</w:t>
      </w:r>
      <w:bookmarkEnd w:id="1"/>
    </w:p>
    <w:p>
      <w:pPr>
        <w:pStyle w:val="3"/>
        <w:spacing w:beforeLines="100" w:afterLines="100" w:line="240" w:lineRule="auto"/>
        <w:jc w:val="center"/>
        <w:rPr>
          <w:rFonts w:ascii="黑体" w:hAnsi="黑体" w:eastAsia="黑体" w:cs="Times New Roman"/>
          <w:kern w:val="0"/>
          <w:sz w:val="30"/>
        </w:rPr>
      </w:pPr>
      <w:bookmarkStart w:id="2" w:name="_Toc139103781"/>
      <w:r>
        <w:rPr>
          <w:rFonts w:ascii="黑体" w:hAnsi="黑体" w:eastAsia="黑体" w:cs="Times New Roman"/>
          <w:kern w:val="0"/>
          <w:sz w:val="30"/>
        </w:rPr>
        <w:t>一、投标人须知前附表1</w:t>
      </w:r>
      <w:bookmarkEnd w:id="2"/>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1418"/>
        <w:gridCol w:w="71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78" w:type="dxa"/>
            <w:gridSpan w:val="3"/>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序号</w:t>
            </w:r>
          </w:p>
        </w:tc>
        <w:tc>
          <w:tcPr>
            <w:tcW w:w="1418"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招标文件</w:t>
            </w:r>
          </w:p>
          <w:p>
            <w:pPr>
              <w:pStyle w:val="55"/>
              <w:widowControl w:val="0"/>
              <w:spacing w:line="360" w:lineRule="auto"/>
              <w:jc w:val="center"/>
              <w:rPr>
                <w:rFonts w:hint="default" w:ascii="宋体" w:hAnsi="宋体"/>
                <w:sz w:val="24"/>
                <w:szCs w:val="24"/>
              </w:rPr>
            </w:pPr>
            <w:r>
              <w:rPr>
                <w:rFonts w:ascii="宋体" w:hAnsi="宋体"/>
                <w:sz w:val="24"/>
                <w:szCs w:val="24"/>
              </w:rPr>
              <w:t>（第三章）</w:t>
            </w:r>
          </w:p>
        </w:tc>
        <w:tc>
          <w:tcPr>
            <w:tcW w:w="7189"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w:t>
            </w:r>
          </w:p>
        </w:tc>
        <w:tc>
          <w:tcPr>
            <w:tcW w:w="1418"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6.1</w:t>
            </w:r>
          </w:p>
        </w:tc>
        <w:tc>
          <w:tcPr>
            <w:tcW w:w="7189" w:type="dxa"/>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是否组织现场考察或召开开标前答疑会：</w:t>
            </w:r>
          </w:p>
          <w:p>
            <w:pPr>
              <w:pStyle w:val="55"/>
              <w:widowControl w:val="0"/>
              <w:spacing w:line="360" w:lineRule="auto"/>
              <w:jc w:val="both"/>
              <w:rPr>
                <w:rFonts w:hint="default" w:ascii="宋体" w:hAnsi="宋体"/>
                <w:sz w:val="24"/>
                <w:szCs w:val="24"/>
              </w:rPr>
            </w:pPr>
            <w:r>
              <w:rPr>
                <w:rFonts w:ascii="宋体" w:hAnsi="宋体"/>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2</w:t>
            </w:r>
          </w:p>
        </w:tc>
        <w:tc>
          <w:tcPr>
            <w:tcW w:w="1418"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10.4</w:t>
            </w:r>
          </w:p>
        </w:tc>
        <w:tc>
          <w:tcPr>
            <w:tcW w:w="7189" w:type="dxa"/>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投标文件的份数：</w:t>
            </w:r>
          </w:p>
          <w:p>
            <w:pPr>
              <w:pStyle w:val="55"/>
              <w:widowControl w:val="0"/>
              <w:spacing w:line="360" w:lineRule="auto"/>
              <w:jc w:val="both"/>
              <w:rPr>
                <w:rFonts w:hint="default" w:ascii="宋体" w:hAnsi="宋体"/>
                <w:sz w:val="24"/>
                <w:szCs w:val="24"/>
              </w:rPr>
            </w:pPr>
            <w:r>
              <w:rPr>
                <w:rFonts w:ascii="宋体" w:hAnsi="宋体"/>
                <w:sz w:val="24"/>
                <w:szCs w:val="24"/>
              </w:rPr>
              <w:t>（1）可读介质（光盘或U盘）0份：投标人应将其上传至福建省政府采购网上公开信息系统的电子投标文件在该可读介质中另存0份。</w:t>
            </w:r>
          </w:p>
          <w:p>
            <w:pPr>
              <w:pStyle w:val="55"/>
              <w:widowControl w:val="0"/>
              <w:spacing w:line="360" w:lineRule="auto"/>
              <w:jc w:val="both"/>
              <w:rPr>
                <w:rFonts w:hint="default" w:ascii="宋体" w:hAnsi="宋体"/>
                <w:sz w:val="24"/>
                <w:szCs w:val="24"/>
              </w:rPr>
            </w:pPr>
            <w:r>
              <w:rPr>
                <w:rFonts w:ascii="宋体" w:hAnsi="宋体"/>
                <w:sz w:val="24"/>
                <w:szCs w:val="24"/>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3</w:t>
            </w:r>
          </w:p>
        </w:tc>
        <w:tc>
          <w:tcPr>
            <w:tcW w:w="1418"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10.7-（1）</w:t>
            </w:r>
          </w:p>
        </w:tc>
        <w:tc>
          <w:tcPr>
            <w:tcW w:w="7189" w:type="dxa"/>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是否允许中标人将本项目的非主体、非关键性工作进行分包：</w:t>
            </w:r>
          </w:p>
          <w:p>
            <w:pPr>
              <w:pStyle w:val="55"/>
              <w:widowControl w:val="0"/>
              <w:spacing w:line="360" w:lineRule="auto"/>
              <w:jc w:val="both"/>
              <w:rPr>
                <w:rFonts w:hint="default" w:ascii="宋体" w:hAnsi="宋体"/>
                <w:sz w:val="24"/>
                <w:szCs w:val="24"/>
              </w:rPr>
            </w:pPr>
            <w:r>
              <w:rPr>
                <w:rFonts w:ascii="宋体" w:hAnsi="宋体"/>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4</w:t>
            </w:r>
          </w:p>
        </w:tc>
        <w:tc>
          <w:tcPr>
            <w:tcW w:w="1418"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10.8-（1）</w:t>
            </w:r>
          </w:p>
        </w:tc>
        <w:tc>
          <w:tcPr>
            <w:tcW w:w="7189" w:type="dxa"/>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5</w:t>
            </w:r>
          </w:p>
        </w:tc>
        <w:tc>
          <w:tcPr>
            <w:tcW w:w="1418"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12.1</w:t>
            </w:r>
          </w:p>
        </w:tc>
        <w:tc>
          <w:tcPr>
            <w:tcW w:w="7189" w:type="dxa"/>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确定中标候选人名单：</w:t>
            </w:r>
          </w:p>
          <w:p>
            <w:pPr>
              <w:pStyle w:val="55"/>
              <w:widowControl w:val="0"/>
              <w:spacing w:line="360" w:lineRule="auto"/>
              <w:jc w:val="both"/>
              <w:rPr>
                <w:rFonts w:hint="default" w:ascii="宋体" w:hAnsi="宋体"/>
                <w:sz w:val="24"/>
                <w:szCs w:val="24"/>
              </w:rPr>
            </w:pPr>
            <w:r>
              <w:rPr>
                <w:rFonts w:ascii="宋体" w:hAnsi="宋体"/>
                <w:sz w:val="24"/>
                <w:szCs w:val="24"/>
              </w:rP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6</w:t>
            </w:r>
          </w:p>
        </w:tc>
        <w:tc>
          <w:tcPr>
            <w:tcW w:w="1418"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12.2</w:t>
            </w:r>
          </w:p>
        </w:tc>
        <w:tc>
          <w:tcPr>
            <w:tcW w:w="7189" w:type="dxa"/>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本项目中标人的确定（以采购包为单位）：</w:t>
            </w:r>
          </w:p>
          <w:p>
            <w:pPr>
              <w:pStyle w:val="55"/>
              <w:widowControl w:val="0"/>
              <w:spacing w:line="360" w:lineRule="auto"/>
              <w:jc w:val="both"/>
              <w:rPr>
                <w:rFonts w:hint="default" w:ascii="宋体" w:hAnsi="宋体"/>
                <w:sz w:val="24"/>
                <w:szCs w:val="24"/>
              </w:rPr>
            </w:pPr>
            <w:r>
              <w:rPr>
                <w:rFonts w:ascii="宋体" w:hAnsi="宋体"/>
                <w:sz w:val="24"/>
                <w:szCs w:val="24"/>
              </w:rPr>
              <w:t>（1）采购人应在政府采购招投标管理办法规定的时限内确定中标人。</w:t>
            </w:r>
          </w:p>
          <w:p>
            <w:pPr>
              <w:pStyle w:val="55"/>
              <w:widowControl w:val="0"/>
              <w:spacing w:line="360" w:lineRule="auto"/>
              <w:jc w:val="both"/>
              <w:rPr>
                <w:rFonts w:hint="default" w:ascii="宋体" w:hAnsi="宋体"/>
                <w:sz w:val="24"/>
                <w:szCs w:val="24"/>
              </w:rPr>
            </w:pPr>
            <w:r>
              <w:rPr>
                <w:rFonts w:ascii="宋体" w:hAnsi="宋体"/>
                <w:sz w:val="24"/>
                <w:szCs w:val="24"/>
              </w:rPr>
              <w:t>（2）若出现中标候选人并列情形，则按照下列方式确定中标人：</w:t>
            </w:r>
          </w:p>
          <w:p>
            <w:pPr>
              <w:pStyle w:val="55"/>
              <w:widowControl w:val="0"/>
              <w:spacing w:line="360" w:lineRule="auto"/>
              <w:jc w:val="both"/>
              <w:rPr>
                <w:rFonts w:hint="default" w:ascii="宋体" w:hAnsi="宋体"/>
                <w:sz w:val="24"/>
                <w:szCs w:val="24"/>
              </w:rPr>
            </w:pPr>
            <w:r>
              <w:rPr>
                <w:rFonts w:ascii="宋体" w:hAnsi="宋体"/>
                <w:sz w:val="24"/>
                <w:szCs w:val="24"/>
              </w:rPr>
              <w:t>①招标文件规定的方式：</w:t>
            </w:r>
          </w:p>
          <w:p>
            <w:pPr>
              <w:pStyle w:val="55"/>
              <w:widowControl w:val="0"/>
              <w:spacing w:line="360" w:lineRule="auto"/>
              <w:jc w:val="both"/>
              <w:rPr>
                <w:rFonts w:hint="default" w:ascii="宋体" w:hAnsi="宋体"/>
                <w:sz w:val="24"/>
                <w:szCs w:val="24"/>
              </w:rPr>
            </w:pPr>
            <w:r>
              <w:rPr>
                <w:rFonts w:ascii="宋体" w:hAnsi="宋体"/>
                <w:sz w:val="24"/>
                <w:szCs w:val="24"/>
              </w:rPr>
              <w:t>确定技术项总得分较高的中标候选人为中标人。若技术项总得分相同的，则采取随机抽取的方式确定。</w:t>
            </w:r>
          </w:p>
          <w:p>
            <w:pPr>
              <w:pStyle w:val="55"/>
              <w:widowControl w:val="0"/>
              <w:spacing w:line="360" w:lineRule="auto"/>
              <w:jc w:val="both"/>
              <w:rPr>
                <w:rFonts w:hint="default" w:ascii="宋体" w:hAnsi="宋体"/>
                <w:sz w:val="24"/>
                <w:szCs w:val="24"/>
              </w:rPr>
            </w:pPr>
            <w:r>
              <w:rPr>
                <w:rFonts w:ascii="宋体" w:hAnsi="宋体"/>
                <w:sz w:val="24"/>
                <w:szCs w:val="24"/>
              </w:rPr>
              <w:t>②若本款第①点规定方式为“无”，则按照下列方式确定：</w:t>
            </w:r>
          </w:p>
          <w:p>
            <w:pPr>
              <w:pStyle w:val="55"/>
              <w:widowControl w:val="0"/>
              <w:spacing w:line="360" w:lineRule="auto"/>
              <w:jc w:val="both"/>
              <w:rPr>
                <w:rFonts w:hint="default" w:ascii="宋体" w:hAnsi="宋体"/>
                <w:sz w:val="24"/>
                <w:szCs w:val="24"/>
              </w:rPr>
            </w:pPr>
            <w:r>
              <w:rPr>
                <w:rFonts w:ascii="宋体" w:hAnsi="宋体"/>
                <w:sz w:val="24"/>
                <w:szCs w:val="24"/>
              </w:rPr>
              <w:t>无</w:t>
            </w:r>
          </w:p>
          <w:p>
            <w:pPr>
              <w:pStyle w:val="55"/>
              <w:widowControl w:val="0"/>
              <w:spacing w:line="360" w:lineRule="auto"/>
              <w:jc w:val="both"/>
              <w:rPr>
                <w:rFonts w:hint="default" w:ascii="宋体" w:hAnsi="宋体"/>
                <w:sz w:val="24"/>
                <w:szCs w:val="24"/>
              </w:rPr>
            </w:pPr>
            <w:r>
              <w:rPr>
                <w:rFonts w:ascii="宋体" w:hAnsi="宋体"/>
                <w:sz w:val="24"/>
                <w:szCs w:val="24"/>
              </w:rPr>
              <w:t>③若本款第①、②点规定方式均为“无”，则按照下列方式确定：随机抽取。</w:t>
            </w:r>
          </w:p>
          <w:p>
            <w:pPr>
              <w:pStyle w:val="55"/>
              <w:widowControl w:val="0"/>
              <w:spacing w:line="360" w:lineRule="auto"/>
              <w:jc w:val="both"/>
              <w:rPr>
                <w:rFonts w:hint="default" w:ascii="宋体" w:hAnsi="宋体"/>
                <w:sz w:val="24"/>
                <w:szCs w:val="24"/>
              </w:rPr>
            </w:pPr>
            <w:r>
              <w:rPr>
                <w:rFonts w:ascii="宋体" w:hAnsi="宋体"/>
                <w:sz w:val="24"/>
                <w:szCs w:val="24"/>
              </w:rPr>
              <w:t>（3）本项目确定的中标人家数：</w:t>
            </w:r>
          </w:p>
          <w:p>
            <w:pPr>
              <w:pStyle w:val="55"/>
              <w:widowControl w:val="0"/>
              <w:spacing w:line="360" w:lineRule="auto"/>
              <w:jc w:val="both"/>
              <w:rPr>
                <w:rFonts w:hint="default" w:ascii="宋体" w:hAnsi="宋体"/>
                <w:sz w:val="24"/>
                <w:szCs w:val="24"/>
              </w:rPr>
            </w:pPr>
            <w:r>
              <w:rPr>
                <w:rFonts w:ascii="宋体" w:hAnsi="宋体"/>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7</w:t>
            </w:r>
          </w:p>
        </w:tc>
        <w:tc>
          <w:tcPr>
            <w:tcW w:w="1418"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13.2</w:t>
            </w:r>
          </w:p>
        </w:tc>
        <w:tc>
          <w:tcPr>
            <w:tcW w:w="7189" w:type="dxa"/>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合同签订时限：自中标通知书发出之日起20个日历日内。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8</w:t>
            </w:r>
          </w:p>
        </w:tc>
        <w:tc>
          <w:tcPr>
            <w:tcW w:w="1418"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15.1-（2）</w:t>
            </w:r>
          </w:p>
        </w:tc>
        <w:tc>
          <w:tcPr>
            <w:tcW w:w="7189" w:type="dxa"/>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9</w:t>
            </w:r>
          </w:p>
        </w:tc>
        <w:tc>
          <w:tcPr>
            <w:tcW w:w="1418"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15.4</w:t>
            </w:r>
          </w:p>
        </w:tc>
        <w:tc>
          <w:tcPr>
            <w:tcW w:w="7189" w:type="dxa"/>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招标文件的质疑</w:t>
            </w:r>
          </w:p>
          <w:p>
            <w:pPr>
              <w:pStyle w:val="55"/>
              <w:widowControl w:val="0"/>
              <w:spacing w:line="360" w:lineRule="auto"/>
              <w:jc w:val="both"/>
              <w:rPr>
                <w:rFonts w:hint="default" w:ascii="宋体" w:hAnsi="宋体"/>
                <w:sz w:val="24"/>
                <w:szCs w:val="24"/>
              </w:rPr>
            </w:pPr>
            <w:r>
              <w:rPr>
                <w:rFonts w:ascii="宋体" w:hAnsi="宋体"/>
                <w:sz w:val="24"/>
                <w:szCs w:val="24"/>
              </w:rPr>
              <w:t>（1）潜在投标人可在质疑时效期间内对招标文件以书面形式提出质疑。</w:t>
            </w:r>
          </w:p>
          <w:p>
            <w:pPr>
              <w:pStyle w:val="55"/>
              <w:widowControl w:val="0"/>
              <w:spacing w:line="360" w:lineRule="auto"/>
              <w:jc w:val="both"/>
              <w:rPr>
                <w:rFonts w:hint="default" w:ascii="宋体" w:hAnsi="宋体"/>
                <w:sz w:val="24"/>
                <w:szCs w:val="24"/>
              </w:rPr>
            </w:pPr>
            <w:r>
              <w:rPr>
                <w:rFonts w:ascii="宋体" w:hAnsi="宋体"/>
                <w:sz w:val="24"/>
                <w:szCs w:val="24"/>
              </w:rPr>
              <w:t>（2）质疑时效期间：应在依法获取招标文件之日起7个工作日内向</w:t>
            </w:r>
            <w:r>
              <w:rPr>
                <w:rFonts w:hint="eastAsia" w:ascii="宋体" w:hAnsi="宋体"/>
                <w:sz w:val="24"/>
                <w:szCs w:val="24"/>
                <w:lang w:eastAsia="zh-CN"/>
              </w:rPr>
              <w:t>厦门市公物投资管理有限公司</w:t>
            </w:r>
            <w:r>
              <w:rPr>
                <w:rFonts w:ascii="宋体" w:hAnsi="宋体"/>
                <w:sz w:val="24"/>
                <w:szCs w:val="24"/>
              </w:rPr>
              <w:t>提出，依法获取招标文件的时间以福建省政府采购网上公开信息系统记载的为准。</w:t>
            </w:r>
          </w:p>
          <w:p>
            <w:pPr>
              <w:pStyle w:val="55"/>
              <w:widowControl w:val="0"/>
              <w:spacing w:line="360" w:lineRule="auto"/>
              <w:jc w:val="both"/>
              <w:rPr>
                <w:rFonts w:hint="default" w:ascii="宋体" w:hAnsi="宋体"/>
                <w:sz w:val="24"/>
                <w:szCs w:val="24"/>
              </w:rPr>
            </w:pPr>
            <w:r>
              <w:rPr>
                <w:rFonts w:ascii="宋体" w:hAnsi="宋体"/>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10</w:t>
            </w:r>
          </w:p>
        </w:tc>
        <w:tc>
          <w:tcPr>
            <w:tcW w:w="1418"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16.1</w:t>
            </w:r>
          </w:p>
        </w:tc>
        <w:tc>
          <w:tcPr>
            <w:tcW w:w="7189" w:type="dxa"/>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监督管理部门</w:t>
            </w:r>
            <w:r>
              <w:rPr>
                <w:rFonts w:ascii="宋体" w:hAnsi="宋体"/>
                <w:sz w:val="24"/>
                <w:szCs w:val="24"/>
                <w:highlight w:val="none"/>
              </w:rPr>
              <w:t>：厦门市财政局</w:t>
            </w:r>
            <w:r>
              <w:rPr>
                <w:rFonts w:ascii="宋体" w:hAnsi="宋体"/>
                <w:sz w:val="24"/>
                <w:szCs w:val="24"/>
              </w:rPr>
              <w:t>（仅限依法进行政府采购的货物或服务类项目）。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11</w:t>
            </w:r>
          </w:p>
        </w:tc>
        <w:tc>
          <w:tcPr>
            <w:tcW w:w="1418"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18.1</w:t>
            </w:r>
          </w:p>
        </w:tc>
        <w:tc>
          <w:tcPr>
            <w:tcW w:w="7189" w:type="dxa"/>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财政部和福建省财政厅指定的政府采购信息发布媒体（以下简称：“指定媒体”）：</w:t>
            </w:r>
          </w:p>
          <w:p>
            <w:pPr>
              <w:pStyle w:val="55"/>
              <w:widowControl w:val="0"/>
              <w:spacing w:line="360" w:lineRule="auto"/>
              <w:jc w:val="both"/>
              <w:rPr>
                <w:rFonts w:hint="default" w:ascii="宋体" w:hAnsi="宋体"/>
                <w:sz w:val="24"/>
                <w:szCs w:val="24"/>
              </w:rPr>
            </w:pPr>
            <w:r>
              <w:rPr>
                <w:rFonts w:ascii="宋体" w:hAnsi="宋体"/>
                <w:sz w:val="24"/>
                <w:szCs w:val="24"/>
              </w:rPr>
              <w:t>（1）中国政府采购网，网址www.ccgp.gov.cn。</w:t>
            </w:r>
          </w:p>
          <w:p>
            <w:pPr>
              <w:pStyle w:val="55"/>
              <w:widowControl w:val="0"/>
              <w:spacing w:line="360" w:lineRule="auto"/>
              <w:jc w:val="both"/>
              <w:rPr>
                <w:rFonts w:hint="default" w:ascii="宋体" w:hAnsi="宋体"/>
                <w:sz w:val="24"/>
                <w:szCs w:val="24"/>
              </w:rPr>
            </w:pPr>
            <w:r>
              <w:rPr>
                <w:rFonts w:ascii="宋体" w:hAnsi="宋体"/>
                <w:sz w:val="24"/>
                <w:szCs w:val="24"/>
              </w:rPr>
              <w:t>（2）中国政府采购网福建分网（福建省政府采购网），网址zfcg.czt.fujian.gov.cn。</w:t>
            </w:r>
          </w:p>
          <w:p>
            <w:pPr>
              <w:pStyle w:val="55"/>
              <w:widowControl w:val="0"/>
              <w:spacing w:line="360" w:lineRule="auto"/>
              <w:jc w:val="both"/>
              <w:rPr>
                <w:rFonts w:hint="default" w:ascii="宋体" w:hAnsi="宋体"/>
                <w:sz w:val="24"/>
                <w:szCs w:val="24"/>
              </w:rPr>
            </w:pPr>
            <w:r>
              <w:rPr>
                <w:rFonts w:ascii="宋体" w:hAnsi="宋体"/>
                <w:sz w:val="24"/>
                <w:szCs w:val="24"/>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7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12</w:t>
            </w:r>
          </w:p>
        </w:tc>
        <w:tc>
          <w:tcPr>
            <w:tcW w:w="1418"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19</w:t>
            </w:r>
          </w:p>
        </w:tc>
        <w:tc>
          <w:tcPr>
            <w:tcW w:w="7189" w:type="dxa"/>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其他事项：</w:t>
            </w:r>
          </w:p>
          <w:p>
            <w:pPr>
              <w:pStyle w:val="55"/>
              <w:widowControl w:val="0"/>
              <w:spacing w:line="360" w:lineRule="auto"/>
              <w:jc w:val="both"/>
              <w:rPr>
                <w:rFonts w:hint="default" w:ascii="宋体" w:hAnsi="宋体"/>
                <w:sz w:val="24"/>
                <w:szCs w:val="24"/>
              </w:rPr>
            </w:pPr>
            <w:r>
              <w:rPr>
                <w:rFonts w:ascii="宋体" w:hAnsi="宋体"/>
                <w:sz w:val="24"/>
                <w:szCs w:val="24"/>
              </w:rPr>
              <w:t>（1）本项目代理服务费：</w:t>
            </w:r>
          </w:p>
          <w:p>
            <w:pPr>
              <w:pStyle w:val="55"/>
              <w:widowControl w:val="0"/>
              <w:spacing w:line="360" w:lineRule="auto"/>
              <w:jc w:val="both"/>
              <w:rPr>
                <w:rFonts w:hint="default" w:ascii="宋体" w:hAnsi="宋体"/>
                <w:sz w:val="24"/>
                <w:szCs w:val="24"/>
              </w:rPr>
            </w:pPr>
            <w:r>
              <w:rPr>
                <w:rFonts w:ascii="宋体" w:hAnsi="宋体"/>
                <w:sz w:val="24"/>
                <w:szCs w:val="24"/>
              </w:rPr>
              <w:t>本项目收取代理服务费</w:t>
            </w:r>
          </w:p>
          <w:p>
            <w:pPr>
              <w:pStyle w:val="55"/>
              <w:widowControl w:val="0"/>
              <w:spacing w:line="360" w:lineRule="auto"/>
              <w:jc w:val="both"/>
              <w:rPr>
                <w:rFonts w:hint="default" w:ascii="宋体" w:hAnsi="宋体"/>
                <w:sz w:val="24"/>
                <w:szCs w:val="24"/>
              </w:rPr>
            </w:pPr>
            <w:r>
              <w:rPr>
                <w:rFonts w:ascii="宋体" w:hAnsi="宋体"/>
                <w:sz w:val="24"/>
                <w:szCs w:val="24"/>
              </w:rPr>
              <w:t>代理服务费用收取对象：中标/成交供应商</w:t>
            </w:r>
          </w:p>
          <w:p>
            <w:pPr>
              <w:pStyle w:val="55"/>
              <w:widowControl w:val="0"/>
              <w:spacing w:line="360" w:lineRule="auto"/>
              <w:jc w:val="both"/>
              <w:rPr>
                <w:rFonts w:hint="default" w:ascii="宋体" w:hAnsi="宋体"/>
                <w:sz w:val="24"/>
                <w:szCs w:val="24"/>
              </w:rPr>
            </w:pPr>
            <w:r>
              <w:rPr>
                <w:rFonts w:ascii="宋体" w:hAnsi="宋体"/>
                <w:sz w:val="24"/>
                <w:szCs w:val="24"/>
              </w:rPr>
              <w:t>代理服务费收费标准：</w:t>
            </w:r>
            <w:r>
              <w:rPr>
                <w:rFonts w:hint="default" w:ascii="宋体" w:hAnsi="宋体"/>
                <w:sz w:val="24"/>
                <w:szCs w:val="24"/>
              </w:rPr>
              <w:t xml:space="preserve"> </w:t>
            </w:r>
            <w:r>
              <w:rPr>
                <w:rFonts w:ascii="宋体" w:hAnsi="宋体"/>
                <w:sz w:val="24"/>
                <w:szCs w:val="24"/>
              </w:rPr>
              <w:t>（1）以单个采购包的中标总金额为准，按差额定率累进法计取，具体按以下标准计取：（0，100万元]，1.50%；（100万元，500万元]，1.10%；（500万元，1000万元]，0.80%；（1000万元，5000万元]；0.50%。（2）代理服务费由中标人在领取中标通知书的同时，以转账、电汇、现金存款等付款方式一次性缴清。（3）</w:t>
            </w:r>
            <w:r>
              <w:rPr>
                <w:rFonts w:ascii="宋体" w:hAnsi="宋体" w:eastAsia="宋体" w:cs="宋体"/>
                <w:sz w:val="24"/>
                <w:szCs w:val="24"/>
              </w:rPr>
              <w:t>投标符合招标文件规定的中小企业认定标准，且中标人自身也属于其相应行业中小企业的，中标后可享受服务费下浮10%的优惠。</w:t>
            </w:r>
            <w:r>
              <w:rPr>
                <w:rFonts w:ascii="宋体" w:hAnsi="宋体"/>
                <w:sz w:val="24"/>
                <w:szCs w:val="24"/>
              </w:rPr>
              <w:t>（4）因供应商自身原因导致最终无法承接项目的，代理服务费不予退还。</w:t>
            </w:r>
          </w:p>
          <w:p>
            <w:pPr>
              <w:pStyle w:val="55"/>
              <w:widowControl w:val="0"/>
              <w:spacing w:line="360" w:lineRule="auto"/>
              <w:jc w:val="both"/>
              <w:rPr>
                <w:rFonts w:hint="default" w:ascii="宋体" w:hAnsi="宋体"/>
                <w:sz w:val="24"/>
                <w:szCs w:val="24"/>
              </w:rPr>
            </w:pPr>
            <w:r>
              <w:rPr>
                <w:rFonts w:ascii="宋体" w:hAnsi="宋体"/>
                <w:sz w:val="24"/>
                <w:szCs w:val="24"/>
              </w:rPr>
              <w:t>（2）其他：</w:t>
            </w:r>
          </w:p>
          <w:p>
            <w:pPr>
              <w:pStyle w:val="55"/>
              <w:widowControl w:val="0"/>
              <w:spacing w:line="360" w:lineRule="auto"/>
              <w:jc w:val="both"/>
              <w:rPr>
                <w:rFonts w:hint="default" w:ascii="宋体" w:hAnsi="宋体"/>
                <w:sz w:val="24"/>
                <w:szCs w:val="24"/>
              </w:rPr>
            </w:pPr>
            <w:r>
              <w:rPr>
                <w:rFonts w:ascii="宋体" w:hAnsi="宋体"/>
                <w:sz w:val="24"/>
                <w:szCs w:val="24"/>
              </w:rPr>
              <w:t>本项目招标文件第五章增加补充条款，补充条款内容与招标文件其他地方内容不一致的，以补充条款内容为准。请投标人仔细阅读。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089" w:type="dxa"/>
            <w:gridSpan w:val="2"/>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备注</w:t>
            </w:r>
          </w:p>
        </w:tc>
        <w:tc>
          <w:tcPr>
            <w:tcW w:w="7189" w:type="dxa"/>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后有投标人须知前附表2，请勿遗漏。</w:t>
            </w:r>
          </w:p>
        </w:tc>
      </w:tr>
    </w:tbl>
    <w:p>
      <w:pPr>
        <w:pStyle w:val="3"/>
        <w:spacing w:beforeLines="100" w:afterLines="100" w:line="240" w:lineRule="auto"/>
        <w:jc w:val="center"/>
        <w:rPr>
          <w:rFonts w:ascii="黑体" w:hAnsi="黑体" w:eastAsia="黑体" w:cs="Times New Roman"/>
          <w:kern w:val="0"/>
          <w:sz w:val="30"/>
        </w:rPr>
      </w:pPr>
      <w:bookmarkStart w:id="3" w:name="_Toc139103782"/>
      <w:r>
        <w:rPr>
          <w:rFonts w:ascii="黑体" w:hAnsi="黑体" w:eastAsia="黑体" w:cs="Times New Roman"/>
          <w:kern w:val="0"/>
          <w:sz w:val="30"/>
        </w:rPr>
        <w:t>二、投标人须知前附表2</w:t>
      </w:r>
      <w:bookmarkEnd w:id="3"/>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845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57" w:type="dxa"/>
            <w:gridSpan w:val="2"/>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序号</w:t>
            </w:r>
          </w:p>
        </w:tc>
        <w:tc>
          <w:tcPr>
            <w:tcW w:w="8454"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03"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w:t>
            </w:r>
          </w:p>
        </w:tc>
        <w:tc>
          <w:tcPr>
            <w:tcW w:w="8454" w:type="dxa"/>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（1）电子招标投标活动的专门规定适用本项目电子招标投标活动。</w:t>
            </w:r>
          </w:p>
          <w:p>
            <w:pPr>
              <w:pStyle w:val="55"/>
              <w:spacing w:line="360" w:lineRule="auto"/>
              <w:rPr>
                <w:rFonts w:hint="default" w:ascii="宋体" w:hAnsi="宋体"/>
                <w:sz w:val="24"/>
                <w:szCs w:val="24"/>
              </w:rPr>
            </w:pPr>
            <w:r>
              <w:rPr>
                <w:rFonts w:ascii="宋体" w:hAnsi="宋体"/>
                <w:sz w:val="24"/>
                <w:szCs w:val="24"/>
              </w:rPr>
              <w:t>（2）将招标文件</w:t>
            </w:r>
          </w:p>
          <w:p>
            <w:pPr>
              <w:pStyle w:val="55"/>
              <w:spacing w:line="360" w:lineRule="auto"/>
              <w:rPr>
                <w:rFonts w:hint="default" w:ascii="宋体" w:hAnsi="宋体"/>
                <w:sz w:val="24"/>
                <w:szCs w:val="24"/>
              </w:rPr>
            </w:pPr>
            <w:r>
              <w:rPr>
                <w:rFonts w:ascii="宋体" w:hAnsi="宋体"/>
                <w:sz w:val="24"/>
                <w:szCs w:val="24"/>
              </w:rPr>
              <w:t>无的内容修正为下列内容：</w:t>
            </w:r>
          </w:p>
          <w:p>
            <w:pPr>
              <w:pStyle w:val="55"/>
              <w:spacing w:line="360" w:lineRule="auto"/>
              <w:rPr>
                <w:rFonts w:hint="default" w:ascii="宋体" w:hAnsi="宋体"/>
                <w:sz w:val="24"/>
                <w:szCs w:val="24"/>
              </w:rPr>
            </w:pPr>
            <w:r>
              <w:rPr>
                <w:rFonts w:ascii="宋体" w:hAnsi="宋体"/>
                <w:sz w:val="24"/>
                <w:szCs w:val="24"/>
              </w:rPr>
              <w:t>无后适用本项目的电子招标投标活动。</w:t>
            </w:r>
          </w:p>
          <w:p>
            <w:pPr>
              <w:pStyle w:val="55"/>
              <w:spacing w:line="360" w:lineRule="auto"/>
              <w:rPr>
                <w:rFonts w:hint="default" w:ascii="宋体" w:hAnsi="宋体"/>
                <w:sz w:val="24"/>
                <w:szCs w:val="24"/>
              </w:rPr>
            </w:pPr>
            <w:r>
              <w:rPr>
                <w:rFonts w:ascii="宋体" w:hAnsi="宋体"/>
                <w:sz w:val="24"/>
                <w:szCs w:val="24"/>
              </w:rPr>
              <w:t>（3）将下列内容增列为招标文件的组成部分（以下简称：“增列内容”）适用本项目的电子招标投标活动，若增列内容与招标文件其他章节内容有冲突，应以增列内容为准：</w:t>
            </w:r>
          </w:p>
          <w:p>
            <w:pPr>
              <w:pStyle w:val="55"/>
              <w:spacing w:line="360" w:lineRule="auto"/>
              <w:rPr>
                <w:rFonts w:hint="default" w:ascii="宋体" w:hAnsi="宋体"/>
                <w:sz w:val="24"/>
                <w:szCs w:val="24"/>
              </w:rPr>
            </w:pPr>
            <w:r>
              <w:rPr>
                <w:rFonts w:ascii="宋体" w:hAnsi="宋体"/>
                <w:sz w:val="24"/>
                <w:szCs w:val="24"/>
              </w:rPr>
              <w:t>①电子招标投标活动的具体操作流程以福建省政府采购网上公开信息系统设定的为准。</w:t>
            </w:r>
          </w:p>
          <w:p>
            <w:pPr>
              <w:pStyle w:val="55"/>
              <w:spacing w:line="360" w:lineRule="auto"/>
              <w:rPr>
                <w:rFonts w:hint="default" w:ascii="宋体" w:hAnsi="宋体"/>
                <w:sz w:val="24"/>
                <w:szCs w:val="24"/>
              </w:rPr>
            </w:pPr>
            <w:r>
              <w:rPr>
                <w:rFonts w:ascii="宋体" w:hAnsi="宋体"/>
                <w:sz w:val="24"/>
                <w:szCs w:val="24"/>
              </w:rPr>
              <w:t>②关于电子投标文件：</w:t>
            </w:r>
          </w:p>
          <w:p>
            <w:pPr>
              <w:pStyle w:val="55"/>
              <w:spacing w:line="360" w:lineRule="auto"/>
              <w:rPr>
                <w:rFonts w:hint="default" w:ascii="宋体" w:hAnsi="宋体"/>
                <w:sz w:val="24"/>
                <w:szCs w:val="24"/>
              </w:rPr>
            </w:pPr>
            <w:r>
              <w:rPr>
                <w:rFonts w:ascii="宋体" w:hAnsi="宋体"/>
                <w:sz w:val="24"/>
                <w:szCs w:val="24"/>
              </w:rPr>
              <w:t>a.投标人应按照福建省政府采购网上公开信息系统设定的评审节点编制电子投标文件，否则资格审查小组、评标委员会将按照不利于投标人的内容进行认定。</w:t>
            </w:r>
          </w:p>
          <w:p>
            <w:pPr>
              <w:pStyle w:val="55"/>
              <w:spacing w:line="360" w:lineRule="auto"/>
              <w:rPr>
                <w:rFonts w:hint="default" w:ascii="宋体" w:hAnsi="宋体"/>
                <w:sz w:val="24"/>
                <w:szCs w:val="24"/>
              </w:rPr>
            </w:pPr>
            <w:r>
              <w:rPr>
                <w:rFonts w:ascii="宋体" w:hAnsi="宋体"/>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55"/>
              <w:spacing w:line="360" w:lineRule="auto"/>
              <w:rPr>
                <w:rFonts w:hint="default" w:ascii="宋体" w:hAnsi="宋体"/>
                <w:sz w:val="24"/>
                <w:szCs w:val="24"/>
              </w:rPr>
            </w:pPr>
            <w:r>
              <w:rPr>
                <w:rFonts w:ascii="宋体" w:hAnsi="宋体"/>
                <w:sz w:val="24"/>
                <w:szCs w:val="24"/>
              </w:rPr>
              <w:t>③关于证明材料或资料：</w:t>
            </w:r>
          </w:p>
          <w:p>
            <w:pPr>
              <w:pStyle w:val="55"/>
              <w:spacing w:line="360" w:lineRule="auto"/>
              <w:rPr>
                <w:rFonts w:hint="default" w:ascii="宋体" w:hAnsi="宋体"/>
                <w:sz w:val="24"/>
                <w:szCs w:val="24"/>
              </w:rPr>
            </w:pPr>
            <w:r>
              <w:rPr>
                <w:rFonts w:ascii="宋体" w:hAnsi="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55"/>
              <w:spacing w:line="360" w:lineRule="auto"/>
              <w:rPr>
                <w:rFonts w:hint="default" w:ascii="宋体" w:hAnsi="宋体"/>
                <w:sz w:val="24"/>
                <w:szCs w:val="24"/>
              </w:rPr>
            </w:pPr>
            <w:r>
              <w:rPr>
                <w:rFonts w:ascii="宋体" w:hAnsi="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55"/>
              <w:spacing w:line="360" w:lineRule="auto"/>
              <w:rPr>
                <w:rFonts w:hint="default" w:ascii="宋体" w:hAnsi="宋体"/>
                <w:sz w:val="24"/>
                <w:szCs w:val="24"/>
              </w:rPr>
            </w:pPr>
            <w:r>
              <w:rPr>
                <w:rFonts w:ascii="宋体" w:hAnsi="宋体"/>
                <w:sz w:val="24"/>
                <w:szCs w:val="24"/>
              </w:rPr>
              <w:t>④关于“全称”、“投标人代表签字”及“加盖单位公章”：</w:t>
            </w:r>
          </w:p>
          <w:p>
            <w:pPr>
              <w:pStyle w:val="55"/>
              <w:spacing w:line="360" w:lineRule="auto"/>
              <w:rPr>
                <w:rFonts w:hint="default" w:ascii="宋体" w:hAnsi="宋体"/>
                <w:sz w:val="24"/>
                <w:szCs w:val="24"/>
              </w:rPr>
            </w:pPr>
            <w:r>
              <w:rPr>
                <w:rFonts w:ascii="宋体" w:hAnsi="宋体"/>
                <w:sz w:val="24"/>
                <w:szCs w:val="24"/>
              </w:rPr>
              <w:t>a.在电子投标文件中，涉及“全称”和“投标人代表签字”的内容可使用打字录入方式完成。</w:t>
            </w:r>
          </w:p>
          <w:p>
            <w:pPr>
              <w:pStyle w:val="55"/>
              <w:spacing w:line="360" w:lineRule="auto"/>
              <w:rPr>
                <w:rFonts w:hint="default" w:ascii="宋体" w:hAnsi="宋体"/>
                <w:sz w:val="24"/>
                <w:szCs w:val="24"/>
              </w:rPr>
            </w:pPr>
            <w:r>
              <w:rPr>
                <w:rFonts w:ascii="宋体" w:hAnsi="宋体"/>
                <w:sz w:val="24"/>
                <w:szCs w:val="24"/>
              </w:rPr>
              <w:t>b.在电子投标文件中，涉及“加盖单位公章”的内容应使用投标人的CA证书完成，否则投标无效。</w:t>
            </w:r>
          </w:p>
          <w:p>
            <w:pPr>
              <w:pStyle w:val="55"/>
              <w:spacing w:line="360" w:lineRule="auto"/>
              <w:rPr>
                <w:rFonts w:hint="default" w:ascii="宋体" w:hAnsi="宋体"/>
                <w:sz w:val="24"/>
                <w:szCs w:val="24"/>
              </w:rPr>
            </w:pPr>
            <w:r>
              <w:rPr>
                <w:rFonts w:ascii="宋体" w:hAnsi="宋体"/>
                <w:sz w:val="24"/>
                <w:szCs w:val="24"/>
              </w:rPr>
              <w:t>c.在电子投标文件中，若投标人按照本增列内容第④点第b项规定加盖其单位公章，则出现无全称、或投标人代表未签字等情形，不视为投标无效。</w:t>
            </w:r>
          </w:p>
          <w:p>
            <w:pPr>
              <w:pStyle w:val="55"/>
              <w:spacing w:line="360" w:lineRule="auto"/>
              <w:rPr>
                <w:rFonts w:hint="default" w:ascii="宋体" w:hAnsi="宋体"/>
                <w:sz w:val="24"/>
                <w:szCs w:val="24"/>
              </w:rPr>
            </w:pPr>
            <w:r>
              <w:rPr>
                <w:rFonts w:ascii="宋体" w:hAnsi="宋体"/>
                <w:sz w:val="24"/>
                <w:szCs w:val="24"/>
              </w:rPr>
              <w:t>⑤关于投标人的CA证书：</w:t>
            </w:r>
          </w:p>
          <w:p>
            <w:pPr>
              <w:pStyle w:val="55"/>
              <w:spacing w:line="360" w:lineRule="auto"/>
              <w:rPr>
                <w:rFonts w:hint="default" w:ascii="宋体" w:hAnsi="宋体"/>
                <w:sz w:val="24"/>
                <w:szCs w:val="24"/>
              </w:rPr>
            </w:pPr>
            <w:r>
              <w:rPr>
                <w:rFonts w:ascii="宋体" w:hAnsi="宋体"/>
                <w:sz w:val="24"/>
                <w:szCs w:val="24"/>
              </w:rPr>
              <w:t>a.投标人的CA证书应在系统规定时间内使用CA证书进行电子投标文件的解密操作，逾期未解密的视为放弃投标。</w:t>
            </w:r>
          </w:p>
          <w:p>
            <w:pPr>
              <w:pStyle w:val="55"/>
              <w:spacing w:line="360" w:lineRule="auto"/>
              <w:rPr>
                <w:rFonts w:hint="default" w:ascii="宋体" w:hAnsi="宋体"/>
                <w:sz w:val="24"/>
                <w:szCs w:val="24"/>
              </w:rPr>
            </w:pPr>
            <w:r>
              <w:rPr>
                <w:rFonts w:ascii="宋体" w:hAnsi="宋体"/>
                <w:sz w:val="24"/>
                <w:szCs w:val="24"/>
              </w:rPr>
              <w:t>b.投标人的CA证书可采用信封（包括但不限于：信封、档案袋、文件袋等）作为外包装进行单独包装。外包装密封、不密封皆可。</w:t>
            </w:r>
          </w:p>
          <w:p>
            <w:pPr>
              <w:pStyle w:val="55"/>
              <w:spacing w:line="360" w:lineRule="auto"/>
              <w:rPr>
                <w:rFonts w:hint="default" w:ascii="宋体" w:hAnsi="宋体"/>
                <w:sz w:val="24"/>
                <w:szCs w:val="24"/>
              </w:rPr>
            </w:pPr>
            <w:r>
              <w:rPr>
                <w:rFonts w:ascii="宋体" w:hAnsi="宋体"/>
                <w:sz w:val="24"/>
                <w:szCs w:val="24"/>
              </w:rPr>
              <w:t>c.投标人的CA证书或外包装应标记“项目名称、项目编号、投标人的全称”等内容，以方便识别、使用。</w:t>
            </w:r>
          </w:p>
          <w:p>
            <w:pPr>
              <w:pStyle w:val="55"/>
              <w:spacing w:line="360" w:lineRule="auto"/>
              <w:rPr>
                <w:rFonts w:hint="default" w:ascii="宋体" w:hAnsi="宋体"/>
                <w:sz w:val="24"/>
                <w:szCs w:val="24"/>
              </w:rPr>
            </w:pPr>
            <w:r>
              <w:rPr>
                <w:rFonts w:ascii="宋体" w:hAnsi="宋体"/>
                <w:sz w:val="24"/>
                <w:szCs w:val="24"/>
              </w:rPr>
              <w:t>d.投标人的CA证书应能正常、有效使用，否则产生不利后果由投标人承担责任。</w:t>
            </w:r>
          </w:p>
          <w:p>
            <w:pPr>
              <w:pStyle w:val="55"/>
              <w:spacing w:line="360" w:lineRule="auto"/>
              <w:rPr>
                <w:rFonts w:hint="default" w:ascii="宋体" w:hAnsi="宋体"/>
                <w:sz w:val="24"/>
                <w:szCs w:val="24"/>
              </w:rPr>
            </w:pPr>
            <w:r>
              <w:rPr>
                <w:rFonts w:ascii="宋体" w:hAnsi="宋体"/>
                <w:sz w:val="24"/>
                <w:szCs w:val="24"/>
              </w:rPr>
              <w:t>⑥关于投标截止时间过后</w:t>
            </w:r>
          </w:p>
          <w:p>
            <w:pPr>
              <w:pStyle w:val="55"/>
              <w:spacing w:line="360" w:lineRule="auto"/>
              <w:rPr>
                <w:rFonts w:hint="default" w:ascii="宋体" w:hAnsi="宋体"/>
                <w:sz w:val="24"/>
                <w:szCs w:val="24"/>
              </w:rPr>
            </w:pPr>
            <w:r>
              <w:rPr>
                <w:rFonts w:ascii="宋体" w:hAnsi="宋体"/>
                <w:sz w:val="24"/>
                <w:szCs w:val="24"/>
              </w:rPr>
              <w:t>a.未按招标文件规定提交投标保证金的，其投标将按无效投标处理。</w:t>
            </w:r>
          </w:p>
          <w:p>
            <w:pPr>
              <w:pStyle w:val="55"/>
              <w:spacing w:line="360" w:lineRule="auto"/>
              <w:rPr>
                <w:rFonts w:hint="default" w:ascii="宋体" w:hAnsi="宋体"/>
                <w:sz w:val="24"/>
                <w:szCs w:val="24"/>
              </w:rPr>
            </w:pPr>
            <w:r>
              <w:rPr>
                <w:rFonts w:ascii="宋体" w:hAnsi="宋体"/>
                <w:sz w:val="24"/>
                <w:szCs w:val="24"/>
              </w:rPr>
              <w:t>b.有下列情形之一的，其投标无效，其保证金不予退还或通过投标保函进行索赔：</w:t>
            </w:r>
          </w:p>
          <w:p>
            <w:pPr>
              <w:pStyle w:val="55"/>
              <w:spacing w:line="360" w:lineRule="auto"/>
              <w:rPr>
                <w:rFonts w:hint="default" w:ascii="宋体" w:hAnsi="宋体"/>
                <w:sz w:val="24"/>
                <w:szCs w:val="24"/>
              </w:rPr>
            </w:pPr>
            <w:r>
              <w:rPr>
                <w:rFonts w:ascii="宋体" w:hAnsi="宋体"/>
                <w:sz w:val="24"/>
                <w:szCs w:val="24"/>
              </w:rPr>
              <w:t>b1不同投标人的电子投标文件具有相同内部识别码；</w:t>
            </w:r>
          </w:p>
          <w:p>
            <w:pPr>
              <w:pStyle w:val="55"/>
              <w:spacing w:line="360" w:lineRule="auto"/>
              <w:rPr>
                <w:rFonts w:hint="default" w:ascii="宋体" w:hAnsi="宋体"/>
                <w:sz w:val="24"/>
                <w:szCs w:val="24"/>
              </w:rPr>
            </w:pPr>
            <w:r>
              <w:rPr>
                <w:rFonts w:ascii="宋体" w:hAnsi="宋体"/>
                <w:sz w:val="24"/>
                <w:szCs w:val="24"/>
              </w:rPr>
              <w:t>b2不同投标人的投标保证金从同一单位或个人的账户转出；</w:t>
            </w:r>
          </w:p>
          <w:p>
            <w:pPr>
              <w:pStyle w:val="55"/>
              <w:spacing w:line="360" w:lineRule="auto"/>
              <w:rPr>
                <w:rFonts w:hint="default" w:ascii="宋体" w:hAnsi="宋体"/>
                <w:sz w:val="24"/>
                <w:szCs w:val="24"/>
              </w:rPr>
            </w:pPr>
            <w:r>
              <w:rPr>
                <w:rFonts w:ascii="宋体" w:hAnsi="宋体"/>
                <w:sz w:val="24"/>
                <w:szCs w:val="24"/>
              </w:rPr>
              <w:t>b3投标人的投标保证金同一采购包下有其他投标人提交的投标保证金；</w:t>
            </w:r>
          </w:p>
          <w:p>
            <w:pPr>
              <w:pStyle w:val="55"/>
              <w:spacing w:line="360" w:lineRule="auto"/>
              <w:rPr>
                <w:rFonts w:hint="default" w:ascii="宋体" w:hAnsi="宋体"/>
                <w:sz w:val="24"/>
                <w:szCs w:val="24"/>
              </w:rPr>
            </w:pPr>
            <w:r>
              <w:rPr>
                <w:rFonts w:ascii="宋体" w:hAnsi="宋体"/>
                <w:sz w:val="24"/>
                <w:szCs w:val="24"/>
              </w:rPr>
              <w:t>b4不同投标人存在串通投标的其他情形。</w:t>
            </w:r>
          </w:p>
          <w:p>
            <w:pPr>
              <w:pStyle w:val="55"/>
              <w:spacing w:line="360" w:lineRule="auto"/>
              <w:rPr>
                <w:rFonts w:hint="default" w:ascii="宋体" w:hAnsi="宋体"/>
                <w:sz w:val="24"/>
                <w:szCs w:val="24"/>
              </w:rPr>
            </w:pPr>
            <w:r>
              <w:rPr>
                <w:rFonts w:ascii="宋体" w:hAnsi="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55"/>
              <w:widowControl w:val="0"/>
              <w:spacing w:line="360" w:lineRule="auto"/>
              <w:jc w:val="both"/>
              <w:rPr>
                <w:rFonts w:hint="default" w:ascii="宋体" w:hAnsi="宋体"/>
                <w:sz w:val="24"/>
                <w:szCs w:val="24"/>
              </w:rPr>
            </w:pPr>
            <w:r>
              <w:rPr>
                <w:rFonts w:ascii="宋体" w:hAnsi="宋体"/>
                <w:sz w:val="24"/>
                <w:szCs w:val="24"/>
              </w:rPr>
              <w:t>⑧其他：无</w:t>
            </w:r>
          </w:p>
        </w:tc>
      </w:tr>
    </w:tbl>
    <w:p/>
    <w:p>
      <w:pPr>
        <w:sectPr>
          <w:pgSz w:w="11906" w:h="16838"/>
          <w:pgMar w:top="1418" w:right="1418" w:bottom="1418" w:left="1418" w:header="851" w:footer="992" w:gutter="0"/>
          <w:cols w:space="720" w:num="1"/>
          <w:docGrid w:type="lines" w:linePitch="312" w:charSpace="0"/>
        </w:sectPr>
      </w:pPr>
    </w:p>
    <w:p>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4" w:name="_Toc139103783"/>
      <w:r>
        <w:rPr>
          <w:rFonts w:ascii="黑体" w:hAnsi="黑体" w:eastAsia="黑体" w:cs="Times New Roman"/>
          <w:kern w:val="0"/>
          <w:sz w:val="32"/>
          <w:szCs w:val="44"/>
        </w:rPr>
        <w:t>第三章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投标人须知</w:t>
      </w:r>
      <w:bookmarkEnd w:id="4"/>
    </w:p>
    <w:p>
      <w:pPr>
        <w:pStyle w:val="3"/>
        <w:spacing w:beforeLines="100" w:afterLines="100" w:line="240" w:lineRule="auto"/>
        <w:jc w:val="center"/>
        <w:rPr>
          <w:rFonts w:ascii="黑体" w:hAnsi="黑体" w:eastAsia="黑体" w:cs="Times New Roman"/>
          <w:kern w:val="0"/>
          <w:sz w:val="30"/>
        </w:rPr>
      </w:pPr>
      <w:bookmarkStart w:id="5" w:name="_Toc139103784"/>
      <w:r>
        <w:rPr>
          <w:rFonts w:ascii="黑体" w:hAnsi="黑体" w:eastAsia="黑体" w:cs="Times New Roman"/>
          <w:kern w:val="0"/>
          <w:sz w:val="30"/>
        </w:rPr>
        <w:t>一、总则</w:t>
      </w:r>
      <w:bookmarkEnd w:id="5"/>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1、适用范围</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1.1适用于招标文件载明项目的政府采购活动（以下简称：“本次采购活动”）。</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2、定义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2.1“采购标的”指招标文件载明的需要采购的货物或服务。</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2.2“潜在投标人”指按照招标文件第一章第7条规定获取招标文件且有意向参加本项目投标的供应商。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2.3“投标人”指按照招标文件第一章第7条规定获取招标文件并参加本项目投标的供应商。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2.4“单位负责人”指单位法定代表人或法律、法规规定代表单位行使职权的主要负责人。</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2.5“投标人代表”指投标人的单位负责人或“单位负责人授权书”中载明的接受授权方。</w:t>
      </w:r>
    </w:p>
    <w:p>
      <w:pPr>
        <w:pStyle w:val="3"/>
        <w:spacing w:beforeLines="100" w:afterLines="100" w:line="240" w:lineRule="auto"/>
        <w:jc w:val="center"/>
        <w:rPr>
          <w:rFonts w:ascii="黑体" w:hAnsi="黑体" w:eastAsia="黑体" w:cs="Times New Roman"/>
          <w:kern w:val="0"/>
          <w:sz w:val="30"/>
        </w:rPr>
      </w:pPr>
      <w:bookmarkStart w:id="6" w:name="_Toc139103785"/>
      <w:r>
        <w:rPr>
          <w:rFonts w:ascii="黑体" w:hAnsi="黑体" w:eastAsia="黑体" w:cs="Times New Roman"/>
          <w:kern w:val="0"/>
          <w:sz w:val="30"/>
        </w:rPr>
        <w:t>二、投标人</w:t>
      </w:r>
      <w:bookmarkEnd w:id="6"/>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3、合格投标人</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3.1一般规定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（2）投标人的资格要求：详见招标文件第一章。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3.2若本项目接受联合体投标且投标人为联合体，则联合体各方应遵守本章第3.1条规定，同时还应遵守下列规定：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（1）联合体各方应提交联合体协议，联合体协议应符合招标文件规定。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（2）联合体各方不得再单独参加或与其他供应商另外组成联合体参加同一合同项下的投标。</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（3）联合体各方应共同与采购人签订政府采购合同，就政府采购合同约定的事项对采购人承担连带责任。</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（5）联合体一方放弃中标的，视为联合体整体放弃中标，联合体各方承担连带责任。</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（6）如本项目不接受联合体投标而投标人为联合体的，或者本项目接受联合体投标但投标人组成的联合体不符合本章第3.2条规定的，投标无效。</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4、投标费用</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4.1除招标文件另有规定外，投标人应自行承担其参加本项目投标所涉及的一切费用。</w:t>
      </w:r>
    </w:p>
    <w:p>
      <w:pPr>
        <w:pStyle w:val="3"/>
        <w:spacing w:beforeLines="100" w:afterLines="100" w:line="240" w:lineRule="auto"/>
        <w:jc w:val="center"/>
        <w:rPr>
          <w:rFonts w:ascii="黑体" w:hAnsi="黑体" w:eastAsia="黑体" w:cs="Times New Roman"/>
          <w:kern w:val="0"/>
          <w:sz w:val="30"/>
        </w:rPr>
      </w:pPr>
      <w:bookmarkStart w:id="7" w:name="_Toc139103786"/>
      <w:r>
        <w:rPr>
          <w:rFonts w:ascii="黑体" w:hAnsi="黑体" w:eastAsia="黑体" w:cs="Times New Roman"/>
          <w:kern w:val="0"/>
          <w:sz w:val="30"/>
        </w:rPr>
        <w:t>三、招标</w:t>
      </w:r>
      <w:bookmarkEnd w:id="7"/>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5、招标文件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5.1招标文件由下述部分组成：</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（1）投标邀请</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（2）投标人须知前附表（表1、2）</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（3）投标人须知</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（4）资格审查与评标</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（5）招标内容及要求</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（6）政府采购合同（参考文本）</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（7）电子投标文件格式</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（8）按照招标文件规定作为招标文件组成部分的其他内容（若有）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5.2招标文件的澄清或修改</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w:t>
      </w:r>
      <w:r>
        <w:rPr>
          <w:rFonts w:hint="eastAsia" w:ascii="宋体" w:hAnsi="宋体"/>
          <w:sz w:val="24"/>
          <w:szCs w:val="24"/>
          <w:lang w:eastAsia="zh-CN"/>
        </w:rPr>
        <w:t>厦门市公物投资管理有限公司</w:t>
      </w:r>
      <w:r>
        <w:rPr>
          <w:rFonts w:ascii="宋体" w:hAnsi="宋体"/>
          <w:sz w:val="24"/>
          <w:szCs w:val="24"/>
        </w:rPr>
        <w:t>可对已发出的招标文件进行必要的澄清或修改，但不得对招标文件载明的采购标的和投标人的资格要求进行改变。</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（2）除本章第5.2条第（3）款规定情形外，澄清或修改的内容可能影响电子投标文件编制的，</w:t>
      </w:r>
      <w:r>
        <w:rPr>
          <w:rFonts w:hint="eastAsia" w:ascii="宋体" w:hAnsi="宋体"/>
          <w:sz w:val="24"/>
          <w:szCs w:val="24"/>
          <w:lang w:eastAsia="zh-CN"/>
        </w:rPr>
        <w:t>厦门市公物投资管理有限公司</w:t>
      </w:r>
      <w:r>
        <w:rPr>
          <w:rFonts w:ascii="宋体" w:hAnsi="宋体"/>
          <w:sz w:val="24"/>
          <w:szCs w:val="24"/>
        </w:rPr>
        <w:t>将在投标截止时间至少15个日历日前，在招标文件载明的指定媒体以更正公告的形式发布澄清或修改的内容。不足15个日历日的，</w:t>
      </w:r>
      <w:r>
        <w:rPr>
          <w:rFonts w:hint="eastAsia" w:ascii="宋体" w:hAnsi="宋体"/>
          <w:sz w:val="24"/>
          <w:szCs w:val="24"/>
          <w:lang w:eastAsia="zh-CN"/>
        </w:rPr>
        <w:t>厦门市公物投资管理有限公司</w:t>
      </w:r>
      <w:r>
        <w:rPr>
          <w:rFonts w:ascii="宋体" w:hAnsi="宋体"/>
          <w:sz w:val="24"/>
          <w:szCs w:val="24"/>
        </w:rPr>
        <w:t>将顺延投标截止时间及开标时间，</w:t>
      </w:r>
      <w:r>
        <w:rPr>
          <w:rFonts w:hint="eastAsia" w:ascii="宋体" w:hAnsi="宋体"/>
          <w:sz w:val="24"/>
          <w:szCs w:val="24"/>
          <w:lang w:eastAsia="zh-CN"/>
        </w:rPr>
        <w:t>厦门市公物投资管理有限公司</w:t>
      </w:r>
      <w:r>
        <w:rPr>
          <w:rFonts w:ascii="宋体" w:hAnsi="宋体"/>
          <w:sz w:val="24"/>
          <w:szCs w:val="24"/>
        </w:rPr>
        <w:t>和投标人受原投标截止时间及开标时间制约的所有权利和义务均延长至新的投标截止时间及开标时间。</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（3）澄清或修改的内容可能改变招标文件载明的采购标的和投标人的资格要求的，本次采购活动结束，</w:t>
      </w:r>
      <w:r>
        <w:rPr>
          <w:rFonts w:hint="eastAsia" w:ascii="宋体" w:hAnsi="宋体"/>
          <w:sz w:val="24"/>
          <w:szCs w:val="24"/>
          <w:lang w:eastAsia="zh-CN"/>
        </w:rPr>
        <w:t>厦门市公物投资管理有限公司</w:t>
      </w:r>
      <w:r>
        <w:rPr>
          <w:rFonts w:ascii="宋体" w:hAnsi="宋体"/>
          <w:sz w:val="24"/>
          <w:szCs w:val="24"/>
        </w:rPr>
        <w:t>将依法组织后续采购活动（包括但不限于：重新招标、采用其他方式采购等）。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6、现场考察或开标前答疑会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6.1是否组织现场考察或召开开标前答疑会：详见招标文件第二章。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7、更正公告</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7.1若</w:t>
      </w:r>
      <w:r>
        <w:rPr>
          <w:rFonts w:hint="eastAsia" w:ascii="宋体" w:hAnsi="宋体"/>
          <w:sz w:val="24"/>
          <w:szCs w:val="24"/>
          <w:lang w:eastAsia="zh-CN"/>
        </w:rPr>
        <w:t>厦门市公物投资管理有限公司</w:t>
      </w:r>
      <w:r>
        <w:rPr>
          <w:rFonts w:ascii="宋体" w:hAnsi="宋体"/>
          <w:sz w:val="24"/>
          <w:szCs w:val="24"/>
        </w:rPr>
        <w:t>发布更正公告，则更正公告及其所发布的内容或信息（包括但不限于：招标文件的澄清或修改、现场考察或答疑会的有关事宜等）作为招标文件组成部分，对投标人具有约束力。</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7.2更正公告作为</w:t>
      </w:r>
      <w:r>
        <w:rPr>
          <w:rFonts w:hint="eastAsia" w:ascii="宋体" w:hAnsi="宋体"/>
          <w:sz w:val="24"/>
          <w:szCs w:val="24"/>
          <w:lang w:eastAsia="zh-CN"/>
        </w:rPr>
        <w:t>厦门市公物投资管理有限公司</w:t>
      </w:r>
      <w:r>
        <w:rPr>
          <w:rFonts w:ascii="宋体" w:hAnsi="宋体"/>
          <w:sz w:val="24"/>
          <w:szCs w:val="24"/>
        </w:rPr>
        <w:t>通知所有潜在投标人的书面形式。</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8、终止公告</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8.1若出现因重大变故导致采购任务取消情形，</w:t>
      </w:r>
      <w:r>
        <w:rPr>
          <w:rFonts w:hint="eastAsia" w:ascii="宋体" w:hAnsi="宋体"/>
          <w:sz w:val="24"/>
          <w:szCs w:val="24"/>
          <w:lang w:eastAsia="zh-CN"/>
        </w:rPr>
        <w:t>厦门市公物投资管理有限公司</w:t>
      </w:r>
      <w:r>
        <w:rPr>
          <w:rFonts w:ascii="宋体" w:hAnsi="宋体"/>
          <w:sz w:val="24"/>
          <w:szCs w:val="24"/>
        </w:rPr>
        <w:t>可终止招标并发布终止公告。</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8.2终止公告作为</w:t>
      </w:r>
      <w:r>
        <w:rPr>
          <w:rFonts w:hint="eastAsia" w:ascii="宋体" w:hAnsi="宋体"/>
          <w:sz w:val="24"/>
          <w:szCs w:val="24"/>
          <w:lang w:eastAsia="zh-CN"/>
        </w:rPr>
        <w:t>厦门市公物投资管理有限公司</w:t>
      </w:r>
      <w:r>
        <w:rPr>
          <w:rFonts w:ascii="宋体" w:hAnsi="宋体"/>
          <w:sz w:val="24"/>
          <w:szCs w:val="24"/>
        </w:rPr>
        <w:t>通知所有潜在投标人的书面形式。</w:t>
      </w:r>
    </w:p>
    <w:p>
      <w:pPr>
        <w:pStyle w:val="3"/>
        <w:spacing w:beforeLines="100" w:afterLines="100" w:line="240" w:lineRule="auto"/>
        <w:jc w:val="center"/>
        <w:rPr>
          <w:rFonts w:ascii="黑体" w:hAnsi="黑体" w:eastAsia="黑体" w:cs="Times New Roman"/>
          <w:kern w:val="0"/>
          <w:sz w:val="30"/>
        </w:rPr>
      </w:pPr>
      <w:bookmarkStart w:id="8" w:name="_Toc139103787"/>
      <w:r>
        <w:rPr>
          <w:rFonts w:ascii="黑体" w:hAnsi="黑体" w:eastAsia="黑体" w:cs="Times New Roman"/>
          <w:kern w:val="0"/>
          <w:sz w:val="30"/>
        </w:rPr>
        <w:t>四、投标</w:t>
      </w:r>
      <w:bookmarkEnd w:id="8"/>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9、投标</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9.1投标人可对招标文件载明的全部或部分采购包进行投标。</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9.2投标人应对同一个采购包内的所有内容进行完整投标，否则投标无效。</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9.3投标人代表只能接受一个投标人的授权参加投标，否则投标无效。</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9.4单位负责人为同一人或存在直接控股、管理关系的不同供应商，不得同时参加同一合同项下的投标，否则投标无效。</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9.5为本项目提供整体设计、规范编制或项目管理、监理、检测等服务的供应商，不得参加本项目除整体设计、规范编制和项目管理、监理、检测等服务外的采购活动，否则投标无效。</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9.7有下列情形之一的，视为投标人串通投标，其投标无效：</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（1）不同投标人的电子投标文件由同一单位或个人编制；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（2）不同投标人委托同一单位或个人办理投标事宜；</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（3）不同投标人的电子投标文件载明的项目管理成员或联系人员为同一人；</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（4）不同投标人的电子投标文件异常一致或投标报价呈规律性差异；</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（5）不同投标人的电子投标文件相互混装；</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（6）不同投标人的投标保证金从同一单位或个人的账户转出；</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（7）有关法律、法规和规章及招标文件规定的其他串通投标情形。</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10、电子投标文件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10.1电子投标文件的编制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（1）投标人应先仔细阅读招标文件的全部内容后，再进行电子投标文件的编制。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（2）电子投标文件应按照本章第10.2条规定编制其组成部分。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10.2电子投标文件由下述部分组成：</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（1）资格及资信证明部分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①投标函</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②投标人的资格及资信证明文件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③投标保证金</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（2）报价部分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①开标一览表</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②投标分项报价表</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③招标文件规定的价格扣除证明材料（若有）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④招标文件规定的加分证明材料（若有）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（3）技术商务部分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①标的说明一览表</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②技术和服务要求响应表</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③商务条件响应表</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④投标人提交的其他资料（若有）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⑤招标文件规定作为电子投标文件组成部分的其他内容（若有）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10.3电子投标文件的语言</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（1）除招标文件另有规定外，电子投标文件应使用中文文本，若有不同文本，以中文文本为准。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10.4投标文件的份数：详见招标文件第二章。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10.5电子投标文件的格式</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（1）除招标文件另有规定外，电子投标文件应使用招标文件第七章规定的格式。</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（2）除招标文件另有规定外，电子投标文件应使用不能擦去的墨料或墨水打印、书写或复印。</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（3）除招标文件另有规定外，电子投标文件应使用人民币作为计量货币。</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（4）除招标文件另有规定外，签署、盖章应遵守下列规定：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①电子投标文件应加盖投标人的单位公章。若投标人代表为单位授权的委托代理人，应提供“单位授权书”。</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②电子投标文件应没有涂改或行间插字，除非这些改动是根据</w:t>
      </w:r>
      <w:r>
        <w:rPr>
          <w:rFonts w:hint="eastAsia" w:ascii="宋体" w:hAnsi="宋体"/>
          <w:sz w:val="24"/>
          <w:szCs w:val="24"/>
          <w:lang w:eastAsia="zh-CN"/>
        </w:rPr>
        <w:t>厦门市公物投资管理有限公司</w:t>
      </w:r>
      <w:r>
        <w:rPr>
          <w:rFonts w:ascii="宋体" w:hAnsi="宋体"/>
          <w:sz w:val="24"/>
          <w:szCs w:val="24"/>
        </w:rPr>
        <w:t>的指示进行的，或是为改正投标人造成的应修改的错误而进行的。若有前述改动，应按照下列规定之一对改动处进行处理：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a.投标人代表签字确认；</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b.加盖投标人的单位公章或校正章。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10.6投标报价</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（1）投标报价超出最高限价将导致投标无效。</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（2）最高限价由采购人根据价格测算情况，在预算金额的额度内合理设定。最高限价不得超出预算金额。</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10.7分包</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（1）是否允许中标人将本项目的非主体、非关键性工作进行分包：详见招标文件第二章。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（3）招标文件允许中标人将非主体、非关键性工作进行分包的项目，有下列情形之一的，中标人不得分包：</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①电子投标文件中未载明分包承担主体；</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②电子投标文件载明的分包承担主体不具备相应资质条件；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③电子投标文件载明的分包承担主体拟再次分包；</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④享受中小企业扶持政策获得政府采购合同的，小微企业不得将合同分包给大中型企业，中型企业不得将合同分包给大型企业。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10.8投标有效期</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（1）招标文件载明的投标有效期：详见招标文件第二章。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（2）电子投标文件承诺的投标有效期不得少于招标文件载明的投标有效期，否则投标无效。</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（3）根据本次采购活动的需要，</w:t>
      </w:r>
      <w:r>
        <w:rPr>
          <w:rFonts w:hint="eastAsia" w:ascii="宋体" w:hAnsi="宋体"/>
          <w:sz w:val="24"/>
          <w:szCs w:val="24"/>
          <w:lang w:eastAsia="zh-CN"/>
        </w:rPr>
        <w:t>厦门市公物投资管理有限公司</w:t>
      </w:r>
      <w:r>
        <w:rPr>
          <w:rFonts w:ascii="宋体" w:hAnsi="宋体"/>
          <w:sz w:val="24"/>
          <w:szCs w:val="24"/>
        </w:rPr>
        <w:t>可于投标有效期届满之前书面要求投标人延长投标有效期，投标人应在</w:t>
      </w:r>
      <w:r>
        <w:rPr>
          <w:rFonts w:hint="eastAsia" w:ascii="宋体" w:hAnsi="宋体"/>
          <w:sz w:val="24"/>
          <w:szCs w:val="24"/>
          <w:lang w:eastAsia="zh-CN"/>
        </w:rPr>
        <w:t>厦门市公物投资管理有限公司</w:t>
      </w:r>
      <w:r>
        <w:rPr>
          <w:rFonts w:ascii="宋体" w:hAnsi="宋体"/>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10.9投标保证金</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（1）投标保证金作为投标人按照招标文件规定履行相应投标责任、义务的约束及担保。</w:t>
      </w:r>
    </w:p>
    <w:p>
      <w:pPr>
        <w:pStyle w:val="55"/>
        <w:spacing w:line="360" w:lineRule="auto"/>
        <w:ind w:firstLine="480" w:firstLineChars="200"/>
        <w:rPr>
          <w:rFonts w:hint="default" w:ascii="宋体" w:hAnsi="宋体"/>
          <w:sz w:val="24"/>
          <w:szCs w:val="24"/>
        </w:rPr>
      </w:pPr>
      <w:r>
        <w:rPr>
          <w:rFonts w:ascii="宋体" w:hAnsi="宋体"/>
          <w:sz w:val="24"/>
          <w:szCs w:val="24"/>
        </w:rPr>
        <w:t>（2）投标人以电子保函形式提交投标保证金的，保函的有效期应等于或长于电子投标文件承诺的投标有效期，否则投标无效。</w:t>
      </w:r>
    </w:p>
    <w:p>
      <w:pPr>
        <w:pStyle w:val="55"/>
        <w:spacing w:line="360" w:lineRule="auto"/>
        <w:ind w:firstLine="480" w:firstLineChars="200"/>
        <w:rPr>
          <w:rFonts w:hint="default" w:ascii="宋体" w:hAnsi="宋体"/>
          <w:sz w:val="24"/>
          <w:szCs w:val="24"/>
        </w:rPr>
      </w:pPr>
      <w:r>
        <w:rPr>
          <w:rFonts w:ascii="宋体" w:hAnsi="宋体"/>
          <w:sz w:val="24"/>
          <w:szCs w:val="24"/>
        </w:rPr>
        <w:t>（3）提交</w:t>
      </w:r>
    </w:p>
    <w:p>
      <w:pPr>
        <w:pStyle w:val="55"/>
        <w:spacing w:line="360" w:lineRule="auto"/>
        <w:ind w:firstLine="480" w:firstLineChars="200"/>
        <w:rPr>
          <w:rFonts w:hint="default" w:ascii="宋体" w:hAnsi="宋体"/>
          <w:sz w:val="24"/>
          <w:szCs w:val="24"/>
        </w:rPr>
      </w:pPr>
      <w:r>
        <w:rPr>
          <w:rFonts w:ascii="宋体" w:hAnsi="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55"/>
        <w:spacing w:line="360" w:lineRule="auto"/>
        <w:ind w:firstLine="480" w:firstLineChars="200"/>
        <w:rPr>
          <w:rFonts w:hint="default" w:ascii="宋体" w:hAnsi="宋体"/>
          <w:sz w:val="24"/>
          <w:szCs w:val="24"/>
        </w:rPr>
      </w:pPr>
      <w:r>
        <w:rPr>
          <w:rFonts w:ascii="宋体" w:hAnsi="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55"/>
        <w:spacing w:line="360" w:lineRule="auto"/>
        <w:ind w:firstLine="480" w:firstLineChars="200"/>
        <w:rPr>
          <w:rFonts w:hint="default" w:ascii="宋体" w:hAnsi="宋体"/>
          <w:sz w:val="24"/>
          <w:szCs w:val="24"/>
        </w:rPr>
      </w:pPr>
      <w:r>
        <w:rPr>
          <w:rFonts w:ascii="宋体" w:hAnsi="宋体"/>
          <w:sz w:val="24"/>
          <w:szCs w:val="24"/>
        </w:rPr>
        <w:t>③其他形式：</w:t>
      </w:r>
    </w:p>
    <w:p>
      <w:pPr>
        <w:pStyle w:val="55"/>
        <w:spacing w:line="360" w:lineRule="auto"/>
        <w:ind w:firstLine="480" w:firstLineChars="200"/>
        <w:rPr>
          <w:rFonts w:hint="default" w:ascii="宋体" w:hAnsi="宋体"/>
          <w:sz w:val="24"/>
          <w:szCs w:val="24"/>
        </w:rPr>
      </w:pPr>
      <w:r>
        <w:rPr>
          <w:rFonts w:ascii="宋体" w:hAnsi="宋体"/>
          <w:sz w:val="24"/>
          <w:szCs w:val="24"/>
        </w:rPr>
        <w:t>{{未填写}}</w:t>
      </w:r>
    </w:p>
    <w:p>
      <w:pPr>
        <w:pStyle w:val="55"/>
        <w:spacing w:line="360" w:lineRule="auto"/>
        <w:ind w:firstLine="480" w:firstLineChars="200"/>
        <w:rPr>
          <w:rFonts w:hint="default" w:ascii="宋体" w:hAnsi="宋体"/>
          <w:sz w:val="24"/>
          <w:szCs w:val="24"/>
        </w:rPr>
      </w:pPr>
      <w:r>
        <w:rPr>
          <w:rFonts w:ascii="宋体" w:hAnsi="宋体"/>
          <w:sz w:val="24"/>
          <w:szCs w:val="24"/>
        </w:rPr>
        <w:t>④若本项目接受联合体投标且投标人为联合体，则联合体中的牵头方应按照本章第10.9条第（3）款第①、②、③点规定提交投标保证金。</w:t>
      </w:r>
    </w:p>
    <w:p>
      <w:pPr>
        <w:pStyle w:val="55"/>
        <w:spacing w:line="360" w:lineRule="auto"/>
        <w:ind w:firstLine="480" w:firstLineChars="200"/>
        <w:rPr>
          <w:rFonts w:hint="default" w:ascii="宋体" w:hAnsi="宋体"/>
          <w:sz w:val="24"/>
          <w:szCs w:val="24"/>
        </w:rPr>
      </w:pPr>
      <w:r>
        <w:rPr>
          <w:rFonts w:ascii="宋体" w:hAnsi="宋体"/>
          <w:sz w:val="24"/>
          <w:szCs w:val="24"/>
        </w:rPr>
        <w:t>※除招标文件另有规定外，未按照上述规定提交投标保证金将导致资格审查不合格。</w:t>
      </w:r>
    </w:p>
    <w:p>
      <w:pPr>
        <w:pStyle w:val="55"/>
        <w:spacing w:line="360" w:lineRule="auto"/>
        <w:ind w:firstLine="480" w:firstLineChars="200"/>
        <w:rPr>
          <w:rFonts w:hint="default" w:ascii="宋体" w:hAnsi="宋体"/>
          <w:sz w:val="24"/>
          <w:szCs w:val="24"/>
        </w:rPr>
      </w:pPr>
      <w:r>
        <w:rPr>
          <w:rFonts w:ascii="宋体" w:hAnsi="宋体"/>
          <w:sz w:val="24"/>
          <w:szCs w:val="24"/>
        </w:rPr>
        <w:t>（4）退还</w:t>
      </w:r>
    </w:p>
    <w:p>
      <w:pPr>
        <w:pStyle w:val="55"/>
        <w:spacing w:line="360" w:lineRule="auto"/>
        <w:ind w:firstLine="480" w:firstLineChars="200"/>
        <w:rPr>
          <w:rFonts w:hint="default" w:ascii="宋体" w:hAnsi="宋体"/>
          <w:sz w:val="24"/>
          <w:szCs w:val="24"/>
        </w:rPr>
      </w:pPr>
      <w:r>
        <w:rPr>
          <w:rFonts w:ascii="宋体" w:hAnsi="宋体"/>
          <w:sz w:val="24"/>
          <w:szCs w:val="24"/>
        </w:rPr>
        <w:t>①在投标截止时间前撤回已提交的电子投标文件的投标人，其投标保证金将在</w:t>
      </w:r>
      <w:r>
        <w:rPr>
          <w:rFonts w:hint="eastAsia" w:ascii="宋体" w:hAnsi="宋体"/>
          <w:sz w:val="24"/>
          <w:szCs w:val="24"/>
          <w:lang w:eastAsia="zh-CN"/>
        </w:rPr>
        <w:t>厦门市公物投资管理有限公司</w:t>
      </w:r>
      <w:r>
        <w:rPr>
          <w:rFonts w:ascii="宋体" w:hAnsi="宋体"/>
          <w:sz w:val="24"/>
          <w:szCs w:val="24"/>
        </w:rPr>
        <w:t>收到投标人书面撤回通知之日起5个工作日内退回原账户。</w:t>
      </w:r>
    </w:p>
    <w:p>
      <w:pPr>
        <w:pStyle w:val="55"/>
        <w:spacing w:line="360" w:lineRule="auto"/>
        <w:ind w:firstLine="480" w:firstLineChars="200"/>
        <w:rPr>
          <w:rFonts w:hint="default" w:ascii="宋体" w:hAnsi="宋体"/>
          <w:sz w:val="24"/>
          <w:szCs w:val="24"/>
        </w:rPr>
      </w:pPr>
      <w:r>
        <w:rPr>
          <w:rFonts w:ascii="宋体" w:hAnsi="宋体"/>
          <w:sz w:val="24"/>
          <w:szCs w:val="24"/>
        </w:rPr>
        <w:t>②未中标人的投标保证金将在中标通知书发出之日起5个工作日内退回原账户。</w:t>
      </w:r>
    </w:p>
    <w:p>
      <w:pPr>
        <w:pStyle w:val="55"/>
        <w:spacing w:line="360" w:lineRule="auto"/>
        <w:ind w:firstLine="480" w:firstLineChars="200"/>
        <w:rPr>
          <w:rFonts w:hint="default" w:ascii="宋体" w:hAnsi="宋体"/>
          <w:sz w:val="24"/>
          <w:szCs w:val="24"/>
        </w:rPr>
      </w:pPr>
      <w:r>
        <w:rPr>
          <w:rFonts w:ascii="宋体" w:hAnsi="宋体"/>
          <w:sz w:val="24"/>
          <w:szCs w:val="24"/>
        </w:rPr>
        <w:t>③中标人的投标保证金将在政府采购合同签订之日起5个工作日内退回原账户；合同签订之日以福建省政府采购网上公开信息系统记载的为准。</w:t>
      </w:r>
    </w:p>
    <w:p>
      <w:pPr>
        <w:pStyle w:val="55"/>
        <w:spacing w:line="360" w:lineRule="auto"/>
        <w:ind w:firstLine="480" w:firstLineChars="200"/>
        <w:rPr>
          <w:rFonts w:hint="default" w:ascii="宋体" w:hAnsi="宋体"/>
          <w:sz w:val="24"/>
          <w:szCs w:val="24"/>
        </w:rPr>
      </w:pPr>
      <w:r>
        <w:rPr>
          <w:rFonts w:ascii="宋体" w:hAnsi="宋体"/>
          <w:sz w:val="24"/>
          <w:szCs w:val="24"/>
        </w:rPr>
        <w:t>④终止招标的，</w:t>
      </w:r>
      <w:r>
        <w:rPr>
          <w:rFonts w:hint="eastAsia" w:ascii="宋体" w:hAnsi="宋体"/>
          <w:sz w:val="24"/>
          <w:szCs w:val="24"/>
          <w:lang w:eastAsia="zh-CN"/>
        </w:rPr>
        <w:t>厦门市公物投资管理有限公司</w:t>
      </w:r>
      <w:r>
        <w:rPr>
          <w:rFonts w:ascii="宋体" w:hAnsi="宋体"/>
          <w:sz w:val="24"/>
          <w:szCs w:val="24"/>
        </w:rPr>
        <w:t>将在终止公告发布之日起5个工作日内退回已收取的投标保证金及其在银行产生的孳息。</w:t>
      </w:r>
    </w:p>
    <w:p>
      <w:pPr>
        <w:pStyle w:val="55"/>
        <w:spacing w:line="360" w:lineRule="auto"/>
        <w:ind w:firstLine="480" w:firstLineChars="200"/>
        <w:rPr>
          <w:rFonts w:hint="default" w:ascii="宋体" w:hAnsi="宋体"/>
          <w:sz w:val="24"/>
          <w:szCs w:val="24"/>
        </w:rPr>
      </w:pPr>
      <w:r>
        <w:rPr>
          <w:rFonts w:ascii="宋体" w:hAnsi="宋体"/>
          <w:sz w:val="24"/>
          <w:szCs w:val="24"/>
        </w:rPr>
        <w:t>⑤除招标文件另有规定外，质疑或投诉涉及的投标人，若投标保证金尚未退还，则待质疑或投诉处理完毕后不计利息原额退还。</w:t>
      </w:r>
    </w:p>
    <w:p>
      <w:pPr>
        <w:pStyle w:val="55"/>
        <w:spacing w:line="360" w:lineRule="auto"/>
        <w:ind w:firstLine="480" w:firstLineChars="200"/>
        <w:rPr>
          <w:rFonts w:hint="default" w:ascii="宋体" w:hAnsi="宋体"/>
          <w:sz w:val="24"/>
          <w:szCs w:val="24"/>
        </w:rPr>
      </w:pPr>
      <w:r>
        <w:rPr>
          <w:rFonts w:ascii="宋体" w:hAnsi="宋体"/>
          <w:sz w:val="24"/>
          <w:szCs w:val="24"/>
        </w:rPr>
        <w:t>※本章第10.9条第（4）款第①、②、③点规定的投标保证金退还时限不包括因投标人自身原因导致无法及时退还而增加的时间。</w:t>
      </w:r>
    </w:p>
    <w:p>
      <w:pPr>
        <w:pStyle w:val="55"/>
        <w:spacing w:line="360" w:lineRule="auto"/>
        <w:ind w:firstLine="480" w:firstLineChars="200"/>
        <w:rPr>
          <w:rFonts w:hint="default" w:ascii="宋体" w:hAnsi="宋体"/>
          <w:sz w:val="24"/>
          <w:szCs w:val="24"/>
        </w:rPr>
      </w:pPr>
      <w:r>
        <w:rPr>
          <w:rFonts w:ascii="宋体" w:hAnsi="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55"/>
        <w:spacing w:line="360" w:lineRule="auto"/>
        <w:ind w:firstLine="480" w:firstLineChars="200"/>
        <w:rPr>
          <w:rFonts w:hint="default" w:ascii="宋体" w:hAnsi="宋体"/>
          <w:sz w:val="24"/>
          <w:szCs w:val="24"/>
        </w:rPr>
      </w:pPr>
      <w:r>
        <w:rPr>
          <w:rFonts w:ascii="宋体" w:hAnsi="宋体"/>
          <w:sz w:val="24"/>
          <w:szCs w:val="24"/>
        </w:rPr>
        <w:t>（6）有下列情形之一的，投标保证金将不予退还或通过投标保函进行索赔：</w:t>
      </w:r>
    </w:p>
    <w:p>
      <w:pPr>
        <w:pStyle w:val="55"/>
        <w:spacing w:line="360" w:lineRule="auto"/>
        <w:ind w:firstLine="480" w:firstLineChars="200"/>
        <w:rPr>
          <w:rFonts w:hint="default" w:ascii="宋体" w:hAnsi="宋体"/>
          <w:sz w:val="24"/>
          <w:szCs w:val="24"/>
        </w:rPr>
      </w:pPr>
      <w:r>
        <w:rPr>
          <w:rFonts w:ascii="宋体" w:hAnsi="宋体"/>
          <w:sz w:val="24"/>
          <w:szCs w:val="24"/>
        </w:rPr>
        <w:t>①投标人串通投标；</w:t>
      </w:r>
    </w:p>
    <w:p>
      <w:pPr>
        <w:pStyle w:val="55"/>
        <w:spacing w:line="360" w:lineRule="auto"/>
        <w:ind w:firstLine="480" w:firstLineChars="200"/>
        <w:rPr>
          <w:rFonts w:hint="default" w:ascii="宋体" w:hAnsi="宋体"/>
          <w:sz w:val="24"/>
          <w:szCs w:val="24"/>
        </w:rPr>
      </w:pPr>
      <w:r>
        <w:rPr>
          <w:rFonts w:ascii="宋体" w:hAnsi="宋体"/>
          <w:sz w:val="24"/>
          <w:szCs w:val="24"/>
        </w:rPr>
        <w:t>②投标人提供虚假材料；</w:t>
      </w:r>
    </w:p>
    <w:p>
      <w:pPr>
        <w:pStyle w:val="55"/>
        <w:spacing w:line="360" w:lineRule="auto"/>
        <w:ind w:firstLine="480" w:firstLineChars="200"/>
        <w:rPr>
          <w:rFonts w:hint="default" w:ascii="宋体" w:hAnsi="宋体"/>
          <w:sz w:val="24"/>
          <w:szCs w:val="24"/>
        </w:rPr>
      </w:pPr>
      <w:r>
        <w:rPr>
          <w:rFonts w:ascii="宋体" w:hAnsi="宋体"/>
          <w:sz w:val="24"/>
          <w:szCs w:val="24"/>
        </w:rPr>
        <w:t>③投标人采取不正当手段诋毁、排挤其他投标人；</w:t>
      </w:r>
    </w:p>
    <w:p>
      <w:pPr>
        <w:pStyle w:val="55"/>
        <w:spacing w:line="360" w:lineRule="auto"/>
        <w:ind w:firstLine="480" w:firstLineChars="200"/>
        <w:rPr>
          <w:rFonts w:hint="default" w:ascii="宋体" w:hAnsi="宋体"/>
          <w:sz w:val="24"/>
          <w:szCs w:val="24"/>
        </w:rPr>
      </w:pPr>
      <w:r>
        <w:rPr>
          <w:rFonts w:ascii="宋体" w:hAnsi="宋体"/>
          <w:sz w:val="24"/>
          <w:szCs w:val="24"/>
        </w:rPr>
        <w:t>④投标截止时间后，投标人在投标有效期内撤销电子投标文件；</w:t>
      </w:r>
    </w:p>
    <w:p>
      <w:pPr>
        <w:pStyle w:val="55"/>
        <w:spacing w:line="360" w:lineRule="auto"/>
        <w:ind w:firstLine="480" w:firstLineChars="200"/>
        <w:rPr>
          <w:rFonts w:hint="default" w:ascii="宋体" w:hAnsi="宋体"/>
          <w:sz w:val="24"/>
          <w:szCs w:val="24"/>
        </w:rPr>
      </w:pPr>
      <w:r>
        <w:rPr>
          <w:rFonts w:ascii="宋体" w:hAnsi="宋体"/>
          <w:sz w:val="24"/>
          <w:szCs w:val="24"/>
        </w:rPr>
        <w:t>⑤招标文件规定的其他不予退还情形；</w:t>
      </w:r>
    </w:p>
    <w:p>
      <w:pPr>
        <w:pStyle w:val="55"/>
        <w:spacing w:line="360" w:lineRule="auto"/>
        <w:ind w:firstLine="480" w:firstLineChars="200"/>
        <w:rPr>
          <w:rFonts w:hint="default" w:ascii="宋体" w:hAnsi="宋体"/>
          <w:sz w:val="24"/>
          <w:szCs w:val="24"/>
        </w:rPr>
      </w:pPr>
      <w:r>
        <w:rPr>
          <w:rFonts w:ascii="宋体" w:hAnsi="宋体"/>
          <w:sz w:val="24"/>
          <w:szCs w:val="24"/>
        </w:rPr>
        <w:t>⑥中标人有下列情形之一的：</w:t>
      </w:r>
    </w:p>
    <w:p>
      <w:pPr>
        <w:pStyle w:val="55"/>
        <w:spacing w:line="360" w:lineRule="auto"/>
        <w:ind w:firstLine="480" w:firstLineChars="200"/>
        <w:rPr>
          <w:rFonts w:hint="default" w:ascii="宋体" w:hAnsi="宋体"/>
          <w:sz w:val="24"/>
          <w:szCs w:val="24"/>
        </w:rPr>
      </w:pPr>
      <w:r>
        <w:rPr>
          <w:rFonts w:ascii="宋体" w:hAnsi="宋体"/>
          <w:sz w:val="24"/>
          <w:szCs w:val="24"/>
        </w:rPr>
        <w:t>a.除不可抗力外，因中标人自身原因未在中标通知书要求的期限内与采购人签订政府采购合同；</w:t>
      </w:r>
    </w:p>
    <w:p>
      <w:pPr>
        <w:pStyle w:val="55"/>
        <w:spacing w:line="360" w:lineRule="auto"/>
        <w:ind w:firstLine="480" w:firstLineChars="200"/>
        <w:rPr>
          <w:rFonts w:hint="default" w:ascii="宋体" w:hAnsi="宋体"/>
          <w:sz w:val="24"/>
          <w:szCs w:val="24"/>
        </w:rPr>
      </w:pPr>
      <w:r>
        <w:rPr>
          <w:rFonts w:ascii="宋体" w:hAnsi="宋体"/>
          <w:sz w:val="24"/>
          <w:szCs w:val="24"/>
        </w:rPr>
        <w:t>b.未按照招标文件、投标文件的约定签订政府采购合同或提交履约保证金。</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※若上述投标保证金不予退还情形给采购人（采购代理机构）造成损失，则投标人还要承担相应的赔偿责任。</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10.10电子投标文件的提交</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（1）一个投标人只能提交一个电子投标文件，并按照招标文件第一章规定在系统上完成上传、解密操作。</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10.11电子投标文件的补充、修改或撤回</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（1）投标截止时间前，投标人可对所提交的电子投标文件进行补充、修改或撤回，并书面通知</w:t>
      </w:r>
      <w:r>
        <w:rPr>
          <w:rFonts w:hint="eastAsia" w:ascii="宋体" w:hAnsi="宋体"/>
          <w:sz w:val="24"/>
          <w:szCs w:val="24"/>
          <w:lang w:eastAsia="zh-CN"/>
        </w:rPr>
        <w:t>厦门市公物投资管理有限公司</w:t>
      </w:r>
      <w:r>
        <w:rPr>
          <w:rFonts w:ascii="宋体" w:hAnsi="宋体"/>
          <w:sz w:val="24"/>
          <w:szCs w:val="24"/>
        </w:rPr>
        <w:t>。</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（2）补充、修改的内容应按照本章第10.5条第（4）款规定进行签署、盖章，并按照本章第10.10条规定提交，否则将被拒收。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※按照上述规定提交的补充、修改内容作为电子投标文件组成部分。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10.12除招标文件另有规定外，有下列情形之一的，投标无效：</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（1）电子投标文件未按照招标文件要求签署、盖章；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（2）不符合招标文件中规定的资格要求；</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（3）投标报价超过招标文件中规定的预算金额或最高限价；</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（4）电子投标文件含有采购人不能接受的附加条件；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（5）有关法律、法规和规章及招标文件规定的其他无效情形。</w:t>
      </w:r>
    </w:p>
    <w:p>
      <w:pPr>
        <w:pStyle w:val="3"/>
        <w:spacing w:beforeLines="100" w:afterLines="100" w:line="240" w:lineRule="auto"/>
        <w:jc w:val="center"/>
        <w:rPr>
          <w:rFonts w:ascii="黑体" w:hAnsi="黑体" w:eastAsia="黑体" w:cs="Times New Roman"/>
          <w:kern w:val="0"/>
          <w:sz w:val="30"/>
        </w:rPr>
      </w:pPr>
      <w:bookmarkStart w:id="9" w:name="_Toc139103788"/>
      <w:r>
        <w:rPr>
          <w:rFonts w:ascii="黑体" w:hAnsi="黑体" w:eastAsia="黑体" w:cs="Times New Roman"/>
          <w:kern w:val="0"/>
          <w:sz w:val="30"/>
        </w:rPr>
        <w:t>五、开标</w:t>
      </w:r>
      <w:bookmarkEnd w:id="9"/>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11、开标</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11.1</w:t>
      </w:r>
      <w:r>
        <w:rPr>
          <w:rFonts w:hint="eastAsia" w:ascii="宋体" w:hAnsi="宋体"/>
          <w:sz w:val="24"/>
          <w:szCs w:val="24"/>
          <w:lang w:eastAsia="zh-CN"/>
        </w:rPr>
        <w:t>厦门市公物投资管理有限公司</w:t>
      </w:r>
      <w:r>
        <w:rPr>
          <w:rFonts w:ascii="宋体" w:hAnsi="宋体"/>
          <w:sz w:val="24"/>
          <w:szCs w:val="24"/>
        </w:rPr>
        <w:t>将在招标文件载明的开标时间及地点主持召开开标会，并邀请投标人参加。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11.2开标会的主持人、唱标人、记录人及其他工作人员（若有）均由</w:t>
      </w:r>
      <w:r>
        <w:rPr>
          <w:rFonts w:hint="eastAsia" w:ascii="宋体" w:hAnsi="宋体"/>
          <w:sz w:val="24"/>
          <w:szCs w:val="24"/>
          <w:lang w:eastAsia="zh-CN"/>
        </w:rPr>
        <w:t>厦门市公物投资管理有限公司</w:t>
      </w:r>
      <w:r>
        <w:rPr>
          <w:rFonts w:ascii="宋体" w:hAnsi="宋体"/>
          <w:sz w:val="24"/>
          <w:szCs w:val="24"/>
        </w:rPr>
        <w:t>派出，现场监督人员（若有）可由有关方面派出。</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11.4开标会应遵守下列规定：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（5）若投标人未到开标现场参加开标会，也未通过远程参加开标会的，视同认可开标结果。</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rFonts w:hint="eastAsia" w:ascii="宋体" w:hAnsi="宋体"/>
          <w:sz w:val="24"/>
          <w:szCs w:val="24"/>
          <w:lang w:eastAsia="zh-CN"/>
        </w:rPr>
        <w:t>厦门市公物投资管理有限公司</w:t>
      </w:r>
      <w:r>
        <w:rPr>
          <w:rFonts w:ascii="宋体" w:hAnsi="宋体"/>
          <w:sz w:val="24"/>
          <w:szCs w:val="24"/>
        </w:rPr>
        <w:t>提出任何疑义或要求（包括质疑）。</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11.5投标截止时间后，参加投标的投标人不足三家的，不进行开标。同时，本次采购活动结束，</w:t>
      </w:r>
      <w:r>
        <w:rPr>
          <w:rFonts w:hint="eastAsia" w:ascii="宋体" w:hAnsi="宋体"/>
          <w:sz w:val="24"/>
          <w:szCs w:val="24"/>
          <w:lang w:eastAsia="zh-CN"/>
        </w:rPr>
        <w:t>厦门市公物投资管理有限公司</w:t>
      </w:r>
      <w:r>
        <w:rPr>
          <w:rFonts w:ascii="宋体" w:hAnsi="宋体"/>
          <w:sz w:val="24"/>
          <w:szCs w:val="24"/>
        </w:rPr>
        <w:t>将依法组织后续采购活动（包括但不限于：重新招标、采用其他方式采购等）。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11.6投标截止时间后撤销投标的处理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投标截止时间后，投标人在投标有效期内撤销投标的，其撤销投标的行为无效。</w:t>
      </w:r>
    </w:p>
    <w:p>
      <w:pPr>
        <w:pStyle w:val="3"/>
        <w:spacing w:beforeLines="100" w:afterLines="100" w:line="240" w:lineRule="auto"/>
        <w:jc w:val="center"/>
        <w:rPr>
          <w:rFonts w:ascii="黑体" w:hAnsi="黑体" w:eastAsia="黑体" w:cs="Times New Roman"/>
          <w:kern w:val="0"/>
          <w:sz w:val="30"/>
        </w:rPr>
      </w:pPr>
      <w:bookmarkStart w:id="10" w:name="_Toc139103789"/>
      <w:r>
        <w:rPr>
          <w:rFonts w:ascii="黑体" w:hAnsi="黑体" w:eastAsia="黑体" w:cs="Times New Roman"/>
          <w:kern w:val="0"/>
          <w:sz w:val="30"/>
        </w:rPr>
        <w:t>六、中标与政府采购合同</w:t>
      </w:r>
      <w:bookmarkEnd w:id="10"/>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12、中标</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12.1本项目推荐的中标候选人家数：详见招标文件第二章。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12.2本项目中标人的确定：详见招标文件第二章。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12.3中标公告</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（1）中标人确定之日起2个工作日内，</w:t>
      </w:r>
      <w:r>
        <w:rPr>
          <w:rFonts w:hint="eastAsia" w:ascii="宋体" w:hAnsi="宋体"/>
          <w:sz w:val="24"/>
          <w:szCs w:val="24"/>
          <w:lang w:eastAsia="zh-CN"/>
        </w:rPr>
        <w:t>厦门市公物投资管理有限公司</w:t>
      </w:r>
      <w:r>
        <w:rPr>
          <w:rFonts w:ascii="宋体" w:hAnsi="宋体"/>
          <w:sz w:val="24"/>
          <w:szCs w:val="24"/>
        </w:rPr>
        <w:t>将在招标文件载明的指定媒体以中标公告的形式发布中标结果。</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（2）中标公告的公告期限为1个工作日。</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12.4中标通知书</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（1）中标公告发布的同时，</w:t>
      </w:r>
      <w:r>
        <w:rPr>
          <w:rFonts w:hint="eastAsia" w:ascii="宋体" w:hAnsi="宋体"/>
          <w:sz w:val="24"/>
          <w:szCs w:val="24"/>
          <w:lang w:eastAsia="zh-CN"/>
        </w:rPr>
        <w:t>厦门市公物投资管理有限公司</w:t>
      </w:r>
      <w:r>
        <w:rPr>
          <w:rFonts w:ascii="宋体" w:hAnsi="宋体"/>
          <w:sz w:val="24"/>
          <w:szCs w:val="24"/>
        </w:rPr>
        <w:t>将向中标人发出中标通知书。</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（2）中标通知书发出后，采购人不得违法改变中标结果，中标人无正当理由不得放弃中标。</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13、政府采购合同</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13.2签订时限：详见须知前附表1的13.2。</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13.3政府采购合同的履行、违约责任和解决争议的方法等适用民法典。</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13.4采购人与中标人应根据政府采购合同的约定依法履行合同义务。</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13.5政府采购合同履行过程中，采购人若需追加与合同标的相同的货物或服务，则追加采购金额不得超过原合同采购金额的10%。</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13.6中标人在政府采购合同履行过程中应遵守有关法律、法规和规章的强制性规定（即使前述强制性规定有可能在招标文件中未予列明）。</w:t>
      </w:r>
    </w:p>
    <w:p>
      <w:pPr>
        <w:pStyle w:val="3"/>
        <w:spacing w:beforeLines="100" w:afterLines="100" w:line="240" w:lineRule="auto"/>
        <w:jc w:val="center"/>
        <w:rPr>
          <w:rFonts w:ascii="黑体" w:hAnsi="黑体" w:eastAsia="黑体" w:cs="Times New Roman"/>
          <w:kern w:val="0"/>
          <w:sz w:val="30"/>
        </w:rPr>
      </w:pPr>
      <w:bookmarkStart w:id="11" w:name="_Toc139103790"/>
      <w:r>
        <w:rPr>
          <w:rFonts w:ascii="黑体" w:hAnsi="黑体" w:eastAsia="黑体" w:cs="Times New Roman"/>
          <w:kern w:val="0"/>
          <w:sz w:val="30"/>
        </w:rPr>
        <w:t>七、询问、质疑与投诉</w:t>
      </w:r>
      <w:bookmarkEnd w:id="11"/>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14、询问</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14.1潜在投标人或投标人对本次采购活动的有关事项若有疑问，可向</w:t>
      </w:r>
      <w:r>
        <w:rPr>
          <w:rFonts w:hint="eastAsia" w:ascii="宋体" w:hAnsi="宋体"/>
          <w:sz w:val="24"/>
          <w:szCs w:val="24"/>
          <w:lang w:eastAsia="zh-CN"/>
        </w:rPr>
        <w:t>厦门市公物投资管理有限公司</w:t>
      </w:r>
      <w:r>
        <w:rPr>
          <w:rFonts w:ascii="宋体" w:hAnsi="宋体"/>
          <w:sz w:val="24"/>
          <w:szCs w:val="24"/>
        </w:rPr>
        <w:t>提出询问，</w:t>
      </w:r>
      <w:r>
        <w:rPr>
          <w:rFonts w:hint="eastAsia" w:ascii="宋体" w:hAnsi="宋体"/>
          <w:sz w:val="24"/>
          <w:szCs w:val="24"/>
          <w:lang w:eastAsia="zh-CN"/>
        </w:rPr>
        <w:t>厦门市公物投资管理有限公司</w:t>
      </w:r>
      <w:r>
        <w:rPr>
          <w:rFonts w:ascii="宋体" w:hAnsi="宋体"/>
          <w:sz w:val="24"/>
          <w:szCs w:val="24"/>
        </w:rPr>
        <w:t>将按照政府采购法及实施条例的有关规定进行答复。</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15、质疑</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（1）对招标文件提出质疑的，质疑人应为潜在投标人，且两者的身份、名称等均应保持一致。对采购过程、结果提出质疑的，质疑人应为投标人，且两者的身份、名称等均应保持一致。</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（2）质疑人应按照招标文件第二章规定方式提交质疑函。</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（3）质疑函应包括下列主要内容：</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①质疑人的基本信息，至少包括：全称、地址、邮政编码等；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②所质疑项目的基本信息，至少包括：项目编号、项目名称等；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③所质疑的具体事项（以下简称：“质疑事项”）；</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④针对质疑事项提出的明确请求，前述明确请求指质疑人提出质疑的目的以及希望</w:t>
      </w:r>
      <w:r>
        <w:rPr>
          <w:rFonts w:hint="eastAsia" w:ascii="宋体" w:hAnsi="宋体"/>
          <w:sz w:val="24"/>
          <w:szCs w:val="24"/>
          <w:lang w:eastAsia="zh-CN"/>
        </w:rPr>
        <w:t>厦门市公物投资管理有限公司</w:t>
      </w:r>
      <w:r>
        <w:rPr>
          <w:rFonts w:ascii="宋体" w:hAnsi="宋体"/>
          <w:sz w:val="24"/>
          <w:szCs w:val="24"/>
        </w:rPr>
        <w:t>对其质疑作出的处理结果，如：暂停招标投标活动、修改招标文件、停止或纠正违法违规行为、中标结果无效、废标、重新招标等；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⑤针对质疑事项导致质疑人自身权益受到损害的必要证明材料，至少包括：</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a.质疑人代表的身份证明材料：</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a2若本项目接受自然人投标且质疑人为自然人的，提供本人的身份证复印件。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b.其他证明材料（即事实依据和必要的法律依据）包括但不限于下列材料：</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b1所质疑的具体事项是与自己有利害关系的证明材料；</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b2质疑函所述事实存在的证明材料，如：采购文件、采购过程或中标结果违法违规或不符合采购文件要求等证明材料；</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b3依法应终止采购程序的证明材料；</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b4应重新采购的证明材料；</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b5采购文件、采购过程或中标、成交结果损害自己合法权益的证明材料等；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⑥质疑人代表及其联系方法的信息，至少包括：姓名、手机、电子信箱、邮寄地址等。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⑦提出质疑的日期。</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※质疑人为法人或其他组织的，质疑函应由单位负责人或委托代理人签字或盖章，并加盖投标人的单位公章。质疑人为自然人的，质疑函应由本人签字。</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15.2对不符合本章第15.1条规定的质疑，将按照下列规定进行处理：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（1）不符合其中第（1）、（2）条规定的，书面告知质疑人不予受理及其理由。</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（2）不符合其中第（3）条规定的，书面告知质疑人修改、补充后在规定时限内重新提交质疑函。</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15.3对符合本章第15.1条规定的质疑，将按照政府采购法及实施条例、政府采购质疑和投诉办法的有关规定进行答复。</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15.4招标文件的质疑：详见招标文件第二章。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16、投诉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16.2投诉应有明确的请求和必要的证明材料，投诉的事项不得超出已质疑事项的范围。</w:t>
      </w:r>
    </w:p>
    <w:p>
      <w:pPr>
        <w:pStyle w:val="3"/>
        <w:spacing w:beforeLines="100" w:afterLines="100" w:line="240" w:lineRule="auto"/>
        <w:jc w:val="center"/>
        <w:rPr>
          <w:rFonts w:ascii="黑体" w:hAnsi="黑体" w:eastAsia="黑体" w:cs="Times New Roman"/>
          <w:kern w:val="0"/>
          <w:sz w:val="30"/>
        </w:rPr>
      </w:pPr>
      <w:bookmarkStart w:id="12" w:name="_Toc139103791"/>
      <w:r>
        <w:rPr>
          <w:rFonts w:ascii="黑体" w:hAnsi="黑体" w:eastAsia="黑体" w:cs="Times New Roman"/>
          <w:kern w:val="0"/>
          <w:sz w:val="30"/>
        </w:rPr>
        <w:t>八、政府采购政策</w:t>
      </w:r>
      <w:bookmarkEnd w:id="12"/>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17、政府采购政策由财政部根据国家的经济和社会发展政策并会同国家有关部委制定，包括但不限于下列具体政策要求：</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17.1进口产品指通过中国海关报关验放进入中国境内且产自关境外的产品，其中：</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（2）凡在海关特殊监管区域内企业生产或加工（包括从境外进口料件）销往境内其他地区的产品，不作为政府采购项下进口产品。</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（3）对从境外进入海关特殊监管区域，再经办理报关手续后从海关特殊监管区进入境内其他地区的产品，认定为进口产品。</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（4）招标文件列明不允许或未列明允许进口产品参加投标的，均视为拒绝进口产品参加投标。</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（1）中小企业指符合下列条件的中型、小型、微型企业：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②符合中小企业划分标准的个体工商户，在政府采购活动中视同中小企业。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（2）在政府采购活动中，供应商提供的货物、工程或者服务符合下列情形的，享受本办法规定的中小企业扶持政策：</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①在货物采购项目中，货物由中小企业制造，即货物由中小企业生产且使用该中小企业商号或者注册商标；</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②在工程采购项目中，工程由中小企业承建，即工程施工单位为中小企业；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③在服务采购项目中，服务由中小企业承接，即提供服务的人员为中小企业依照《中华人民共和国劳动合同法》订立劳动合同的从业人员。</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在货物采购项目中，供应商提供的货物既有中小企业制造货物，也有大型企业制造货物的，不享受本办法规定的中小企业扶持政策。</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以联合体形式参加政府采购活动，联合体各方均为中小企业的，联合体视同中小企业。其中，联合体各方均为小微企业的，联合体视同小微企业。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（3）投标人应当按照招标文件明确的采购标的对应行业的划分标准出具中小企业声明函。</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①监狱企业参加采购活动时，应提供由省级以上监狱管理局、戒毒管理局（含新疆生产建设兵团）出具的属于监狱企业的证明文件。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②监狱企业视同小型、微型企业。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（5）残疾人福利性单位指同时符合下列条件的单位：</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①安置的残疾人占本单位在职职工人数的比例不低于25%（含25%），并且安置的残疾人人数不少于10人（含10人）；</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②依法与安置的每位残疾人签订了一年以上（含一年）的劳动合同或服务协议；</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③为安置的每位残疾人按月足额缴纳了基本养老保险、基本医疗保险、失业保险、工伤保险和生育保险等社会保险费；</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④通过银行等金融机构向安置的每位残疾人，按月支付了不低于单位所在区县适用的经省级人民政府批准的月最低工资标准的工资；</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⑤提供本单位制造的货物、承担的工程或服务，或提供其他残疾人福利性单位制造的货物（不包括使用非残疾人福利性单位注册商标的货物）。</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17.5信用记录指由财政部确定的有关网站提供的相关主体信用信息。信用记录的查询及使用应符合财政部文件（财库[2016]125号）规定。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17.6为落实政府采购政策需满足的要求：详见招标文件第一章。</w:t>
      </w:r>
    </w:p>
    <w:p>
      <w:pPr>
        <w:pStyle w:val="3"/>
        <w:spacing w:beforeLines="100" w:afterLines="100" w:line="240" w:lineRule="auto"/>
        <w:jc w:val="center"/>
        <w:rPr>
          <w:rFonts w:ascii="黑体" w:hAnsi="黑体" w:eastAsia="黑体" w:cs="Times New Roman"/>
          <w:kern w:val="0"/>
          <w:sz w:val="30"/>
        </w:rPr>
      </w:pPr>
      <w:bookmarkStart w:id="13" w:name="_Toc139103792"/>
      <w:r>
        <w:rPr>
          <w:rFonts w:ascii="黑体" w:hAnsi="黑体" w:eastAsia="黑体" w:cs="Times New Roman"/>
          <w:kern w:val="0"/>
          <w:sz w:val="30"/>
        </w:rPr>
        <w:t>九、本项目的有关信息</w:t>
      </w:r>
      <w:bookmarkEnd w:id="13"/>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18.1指定媒体：详见招标文件第二章。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18.2本项目的潜在投标人或投标人应随时关注指定媒体，否则产生不利后果由其自行承担。</w:t>
      </w:r>
    </w:p>
    <w:p>
      <w:pPr>
        <w:pStyle w:val="3"/>
        <w:spacing w:beforeLines="100" w:afterLines="100" w:line="240" w:lineRule="auto"/>
        <w:jc w:val="center"/>
        <w:rPr>
          <w:rFonts w:ascii="黑体" w:hAnsi="黑体" w:eastAsia="黑体" w:cs="Times New Roman"/>
          <w:kern w:val="0"/>
          <w:sz w:val="30"/>
        </w:rPr>
      </w:pPr>
      <w:bookmarkStart w:id="14" w:name="_Toc139103793"/>
      <w:r>
        <w:rPr>
          <w:rFonts w:ascii="黑体" w:hAnsi="黑体" w:eastAsia="黑体" w:cs="Times New Roman"/>
          <w:kern w:val="0"/>
          <w:sz w:val="30"/>
        </w:rPr>
        <w:t>十、其他事项</w:t>
      </w:r>
      <w:bookmarkEnd w:id="14"/>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19、其他事项：</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19.1本项目中如涉及商品包装和快递包装的，其包装需求标准应不低于《关于印发〈商品包装政府采购需求标准（试行）〉、〈快递包装政府采购需求标准（试行）〉的通知》（财办库〔2020〕123号）规定的包装要求，其他包装需求详见招标文件具体规定。采购人、中标人双方签订合同及验收环节，应包含上述包装要求的条款。</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19.2其他：详见招标文件第二章。</w:t>
      </w:r>
    </w:p>
    <w:p/>
    <w:p>
      <w:pPr>
        <w:sectPr>
          <w:pgSz w:w="11906" w:h="16838"/>
          <w:pgMar w:top="1418" w:right="1418" w:bottom="1418" w:left="1418" w:header="851" w:footer="992" w:gutter="0"/>
          <w:cols w:space="720" w:num="1"/>
          <w:docGrid w:type="lines" w:linePitch="312" w:charSpace="0"/>
        </w:sectPr>
      </w:pPr>
    </w:p>
    <w:p>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15" w:name="_Toc139103794"/>
      <w:r>
        <w:rPr>
          <w:rFonts w:ascii="黑体" w:hAnsi="黑体" w:eastAsia="黑体" w:cs="Times New Roman"/>
          <w:kern w:val="0"/>
          <w:sz w:val="32"/>
          <w:szCs w:val="44"/>
        </w:rPr>
        <w:t>第四章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资格审查与评标</w:t>
      </w:r>
      <w:bookmarkEnd w:id="15"/>
    </w:p>
    <w:p>
      <w:pPr>
        <w:pStyle w:val="3"/>
        <w:spacing w:beforeLines="100" w:afterLines="100" w:line="240" w:lineRule="auto"/>
        <w:jc w:val="center"/>
        <w:rPr>
          <w:rFonts w:ascii="黑体" w:hAnsi="黑体" w:eastAsia="黑体" w:cs="Times New Roman"/>
          <w:kern w:val="0"/>
          <w:sz w:val="30"/>
        </w:rPr>
      </w:pPr>
      <w:bookmarkStart w:id="16" w:name="_Toc139103795"/>
      <w:r>
        <w:rPr>
          <w:rFonts w:ascii="黑体" w:hAnsi="黑体" w:eastAsia="黑体" w:cs="Times New Roman"/>
          <w:kern w:val="0"/>
          <w:sz w:val="30"/>
        </w:rPr>
        <w:t>一、资格审查</w:t>
      </w:r>
      <w:bookmarkEnd w:id="16"/>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1、开标结束后，由</w:t>
      </w:r>
      <w:r>
        <w:rPr>
          <w:rFonts w:hint="eastAsia" w:ascii="宋体" w:hAnsi="宋体"/>
          <w:sz w:val="24"/>
          <w:szCs w:val="24"/>
          <w:lang w:eastAsia="zh-CN"/>
        </w:rPr>
        <w:t>厦门市公物投资管理有限公司</w:t>
      </w:r>
      <w:r>
        <w:rPr>
          <w:rFonts w:ascii="宋体" w:hAnsi="宋体"/>
          <w:sz w:val="24"/>
          <w:szCs w:val="24"/>
        </w:rPr>
        <w:t>负责资格审查小组的组建及资格审查工作的组织。</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1.1资格审查小组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资格审查小组由3人组成，并负责具体审查事务，其中由采购人派出的采购人代表至少1人，由</w:t>
      </w:r>
      <w:r>
        <w:rPr>
          <w:rFonts w:hint="eastAsia" w:ascii="宋体" w:hAnsi="宋体"/>
          <w:sz w:val="24"/>
          <w:szCs w:val="24"/>
          <w:lang w:eastAsia="zh-CN"/>
        </w:rPr>
        <w:t>厦门市公物投资管理有限公司</w:t>
      </w:r>
      <w:r>
        <w:rPr>
          <w:rFonts w:ascii="宋体" w:hAnsi="宋体"/>
          <w:sz w:val="24"/>
          <w:szCs w:val="24"/>
        </w:rPr>
        <w:t>派出的工作人员至少1人，其余1人可为采购人代表或</w:t>
      </w:r>
      <w:r>
        <w:rPr>
          <w:rFonts w:hint="eastAsia" w:ascii="宋体" w:hAnsi="宋体"/>
          <w:sz w:val="24"/>
          <w:szCs w:val="24"/>
          <w:lang w:eastAsia="zh-CN"/>
        </w:rPr>
        <w:t>厦门市公物投资管理有限公司</w:t>
      </w:r>
      <w:r>
        <w:rPr>
          <w:rFonts w:ascii="宋体" w:hAnsi="宋体"/>
          <w:sz w:val="24"/>
          <w:szCs w:val="24"/>
        </w:rPr>
        <w:t>的工作人员。</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1.2资格审查的依据是招标文件和电子投标文件。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1.3资格审查的范围及内容：电子投标文件（资格及资信证明部分），具体如下：</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（1）“投标函”；</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（2）“投标人的资格及资信证明文件”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①一般资格证明文件：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采购包1：</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89"/>
        <w:gridCol w:w="61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center"/>
          </w:tcPr>
          <w:p>
            <w:pPr>
              <w:spacing w:line="360" w:lineRule="auto"/>
              <w:jc w:val="center"/>
              <w:rPr>
                <w:rFonts w:ascii="宋体" w:hAnsi="宋体"/>
                <w:sz w:val="24"/>
                <w:szCs w:val="24"/>
              </w:rPr>
            </w:pPr>
            <w:r>
              <w:rPr>
                <w:rFonts w:ascii="宋体" w:hAnsi="宋体"/>
                <w:sz w:val="24"/>
                <w:szCs w:val="24"/>
              </w:rPr>
              <w:t>序号</w:t>
            </w:r>
          </w:p>
        </w:tc>
        <w:tc>
          <w:tcPr>
            <w:tcW w:w="2189" w:type="dxa"/>
            <w:noWrap w:val="0"/>
            <w:vAlign w:val="center"/>
          </w:tcPr>
          <w:p>
            <w:pPr>
              <w:spacing w:line="360" w:lineRule="auto"/>
              <w:jc w:val="center"/>
              <w:rPr>
                <w:rFonts w:ascii="宋体" w:hAnsi="宋体"/>
                <w:sz w:val="24"/>
                <w:szCs w:val="24"/>
              </w:rPr>
            </w:pPr>
            <w:r>
              <w:rPr>
                <w:rFonts w:ascii="宋体" w:hAnsi="宋体"/>
                <w:sz w:val="24"/>
                <w:szCs w:val="24"/>
              </w:rPr>
              <w:t>资格审查要求概况</w:t>
            </w:r>
          </w:p>
        </w:tc>
        <w:tc>
          <w:tcPr>
            <w:tcW w:w="6146" w:type="dxa"/>
            <w:noWrap w:val="0"/>
            <w:vAlign w:val="center"/>
          </w:tcPr>
          <w:p>
            <w:pPr>
              <w:spacing w:line="360" w:lineRule="auto"/>
              <w:jc w:val="center"/>
              <w:rPr>
                <w:rFonts w:ascii="宋体" w:hAnsi="宋体"/>
                <w:sz w:val="24"/>
                <w:szCs w:val="24"/>
              </w:rPr>
            </w:pPr>
            <w:r>
              <w:rPr>
                <w:rFonts w:ascii="宋体" w:hAnsi="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center"/>
          </w:tcPr>
          <w:p>
            <w:pPr>
              <w:spacing w:line="360" w:lineRule="auto"/>
              <w:jc w:val="center"/>
              <w:rPr>
                <w:rFonts w:ascii="宋体" w:hAnsi="宋体"/>
                <w:sz w:val="24"/>
                <w:szCs w:val="24"/>
              </w:rPr>
            </w:pPr>
            <w:r>
              <w:rPr>
                <w:rFonts w:ascii="宋体" w:hAnsi="宋体"/>
                <w:sz w:val="24"/>
                <w:szCs w:val="24"/>
              </w:rPr>
              <w:t>1</w:t>
            </w:r>
          </w:p>
        </w:tc>
        <w:tc>
          <w:tcPr>
            <w:tcW w:w="2189" w:type="dxa"/>
            <w:noWrap w:val="0"/>
            <w:vAlign w:val="center"/>
          </w:tcPr>
          <w:p>
            <w:pPr>
              <w:spacing w:line="360" w:lineRule="auto"/>
              <w:jc w:val="center"/>
              <w:rPr>
                <w:rFonts w:ascii="宋体" w:hAnsi="宋体"/>
                <w:sz w:val="24"/>
                <w:szCs w:val="24"/>
              </w:rPr>
            </w:pPr>
            <w:r>
              <w:rPr>
                <w:rFonts w:ascii="宋体" w:hAnsi="宋体"/>
                <w:sz w:val="24"/>
                <w:szCs w:val="24"/>
              </w:rPr>
              <w:t>单位授权书</w:t>
            </w:r>
          </w:p>
        </w:tc>
        <w:tc>
          <w:tcPr>
            <w:tcW w:w="6146" w:type="dxa"/>
            <w:noWrap w:val="0"/>
            <w:vAlign w:val="center"/>
          </w:tcPr>
          <w:p>
            <w:pPr>
              <w:spacing w:line="360" w:lineRule="auto"/>
              <w:rPr>
                <w:rFonts w:ascii="宋体" w:hAnsi="宋体"/>
                <w:sz w:val="24"/>
                <w:szCs w:val="24"/>
              </w:rPr>
            </w:pPr>
            <w:r>
              <w:rPr>
                <w:rFonts w:ascii="宋体" w:hAnsi="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center"/>
          </w:tcPr>
          <w:p>
            <w:pPr>
              <w:spacing w:line="360" w:lineRule="auto"/>
              <w:jc w:val="center"/>
              <w:rPr>
                <w:rFonts w:ascii="宋体" w:hAnsi="宋体"/>
                <w:sz w:val="24"/>
                <w:szCs w:val="24"/>
              </w:rPr>
            </w:pPr>
            <w:r>
              <w:rPr>
                <w:rFonts w:ascii="宋体" w:hAnsi="宋体"/>
                <w:sz w:val="24"/>
                <w:szCs w:val="24"/>
              </w:rPr>
              <w:t>2</w:t>
            </w:r>
          </w:p>
        </w:tc>
        <w:tc>
          <w:tcPr>
            <w:tcW w:w="2189" w:type="dxa"/>
            <w:noWrap w:val="0"/>
            <w:vAlign w:val="center"/>
          </w:tcPr>
          <w:p>
            <w:pPr>
              <w:spacing w:line="360" w:lineRule="auto"/>
              <w:jc w:val="center"/>
              <w:rPr>
                <w:rFonts w:ascii="宋体" w:hAnsi="宋体"/>
                <w:sz w:val="24"/>
                <w:szCs w:val="24"/>
              </w:rPr>
            </w:pPr>
            <w:r>
              <w:rPr>
                <w:rFonts w:ascii="宋体" w:hAnsi="宋体"/>
                <w:sz w:val="24"/>
                <w:szCs w:val="24"/>
              </w:rPr>
              <w:t>营业执照等证明文件</w:t>
            </w:r>
          </w:p>
        </w:tc>
        <w:tc>
          <w:tcPr>
            <w:tcW w:w="6146" w:type="dxa"/>
            <w:noWrap w:val="0"/>
            <w:vAlign w:val="center"/>
          </w:tcPr>
          <w:p>
            <w:pPr>
              <w:spacing w:line="360" w:lineRule="auto"/>
              <w:rPr>
                <w:rFonts w:ascii="宋体" w:hAnsi="宋体"/>
                <w:sz w:val="24"/>
                <w:szCs w:val="24"/>
              </w:rPr>
            </w:pPr>
            <w:r>
              <w:rPr>
                <w:rFonts w:ascii="宋体" w:hAnsi="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center"/>
          </w:tcPr>
          <w:p>
            <w:pPr>
              <w:spacing w:line="360" w:lineRule="auto"/>
              <w:jc w:val="center"/>
              <w:rPr>
                <w:rFonts w:ascii="宋体" w:hAnsi="宋体"/>
                <w:sz w:val="24"/>
                <w:szCs w:val="24"/>
              </w:rPr>
            </w:pPr>
            <w:r>
              <w:rPr>
                <w:rFonts w:ascii="宋体" w:hAnsi="宋体"/>
                <w:sz w:val="24"/>
                <w:szCs w:val="24"/>
              </w:rPr>
              <w:t>3</w:t>
            </w:r>
          </w:p>
        </w:tc>
        <w:tc>
          <w:tcPr>
            <w:tcW w:w="2189" w:type="dxa"/>
            <w:noWrap w:val="0"/>
            <w:vAlign w:val="center"/>
          </w:tcPr>
          <w:p>
            <w:pPr>
              <w:spacing w:line="360" w:lineRule="auto"/>
              <w:jc w:val="center"/>
              <w:rPr>
                <w:rFonts w:ascii="宋体" w:hAnsi="宋体"/>
                <w:sz w:val="24"/>
                <w:szCs w:val="24"/>
              </w:rPr>
            </w:pPr>
            <w:r>
              <w:rPr>
                <w:rFonts w:ascii="宋体" w:hAnsi="宋体"/>
                <w:sz w:val="24"/>
                <w:szCs w:val="24"/>
              </w:rPr>
              <w:t>提供财务状况报告</w:t>
            </w:r>
            <w:r>
              <w:rPr>
                <w:rFonts w:hint="eastAsia" w:ascii="宋体" w:hAnsi="宋体"/>
                <w:sz w:val="24"/>
                <w:szCs w:val="24"/>
              </w:rPr>
              <w:t>（</w:t>
            </w:r>
            <w:r>
              <w:rPr>
                <w:rFonts w:ascii="宋体" w:hAnsi="宋体"/>
                <w:sz w:val="24"/>
                <w:szCs w:val="24"/>
              </w:rPr>
              <w:t>财务报告、或资信证明）</w:t>
            </w:r>
          </w:p>
        </w:tc>
        <w:tc>
          <w:tcPr>
            <w:tcW w:w="6146" w:type="dxa"/>
            <w:noWrap w:val="0"/>
            <w:vAlign w:val="center"/>
          </w:tcPr>
          <w:p>
            <w:pPr>
              <w:spacing w:line="360" w:lineRule="auto"/>
              <w:rPr>
                <w:rFonts w:ascii="宋体" w:hAnsi="宋体"/>
                <w:sz w:val="24"/>
                <w:szCs w:val="24"/>
              </w:rPr>
            </w:pPr>
            <w:r>
              <w:rPr>
                <w:rFonts w:ascii="宋体" w:hAnsi="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center"/>
          </w:tcPr>
          <w:p>
            <w:pPr>
              <w:spacing w:line="360" w:lineRule="auto"/>
              <w:jc w:val="center"/>
              <w:rPr>
                <w:rFonts w:ascii="宋体" w:hAnsi="宋体"/>
                <w:sz w:val="24"/>
                <w:szCs w:val="24"/>
              </w:rPr>
            </w:pPr>
            <w:r>
              <w:rPr>
                <w:rFonts w:ascii="宋体" w:hAnsi="宋体"/>
                <w:sz w:val="24"/>
                <w:szCs w:val="24"/>
              </w:rPr>
              <w:t>4</w:t>
            </w:r>
          </w:p>
        </w:tc>
        <w:tc>
          <w:tcPr>
            <w:tcW w:w="2189" w:type="dxa"/>
            <w:noWrap w:val="0"/>
            <w:vAlign w:val="center"/>
          </w:tcPr>
          <w:p>
            <w:pPr>
              <w:spacing w:line="360" w:lineRule="auto"/>
              <w:jc w:val="center"/>
              <w:rPr>
                <w:rFonts w:ascii="宋体" w:hAnsi="宋体"/>
                <w:sz w:val="24"/>
                <w:szCs w:val="24"/>
              </w:rPr>
            </w:pPr>
            <w:r>
              <w:rPr>
                <w:rFonts w:ascii="宋体" w:hAnsi="宋体"/>
                <w:sz w:val="24"/>
                <w:szCs w:val="24"/>
              </w:rPr>
              <w:t>依法缴纳税收证明材料</w:t>
            </w:r>
          </w:p>
        </w:tc>
        <w:tc>
          <w:tcPr>
            <w:tcW w:w="6146" w:type="dxa"/>
            <w:noWrap w:val="0"/>
            <w:vAlign w:val="center"/>
          </w:tcPr>
          <w:p>
            <w:pPr>
              <w:spacing w:line="360" w:lineRule="auto"/>
              <w:rPr>
                <w:rFonts w:ascii="宋体" w:hAnsi="宋体"/>
                <w:sz w:val="24"/>
                <w:szCs w:val="24"/>
              </w:rPr>
            </w:pPr>
            <w:r>
              <w:rPr>
                <w:rFonts w:ascii="宋体" w:hAnsi="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center"/>
          </w:tcPr>
          <w:p>
            <w:pPr>
              <w:spacing w:line="360" w:lineRule="auto"/>
              <w:jc w:val="center"/>
              <w:rPr>
                <w:rFonts w:ascii="宋体" w:hAnsi="宋体"/>
                <w:sz w:val="24"/>
                <w:szCs w:val="24"/>
              </w:rPr>
            </w:pPr>
            <w:r>
              <w:rPr>
                <w:rFonts w:ascii="宋体" w:hAnsi="宋体"/>
                <w:sz w:val="24"/>
                <w:szCs w:val="24"/>
              </w:rPr>
              <w:t>5</w:t>
            </w:r>
          </w:p>
        </w:tc>
        <w:tc>
          <w:tcPr>
            <w:tcW w:w="2189" w:type="dxa"/>
            <w:noWrap w:val="0"/>
            <w:vAlign w:val="center"/>
          </w:tcPr>
          <w:p>
            <w:pPr>
              <w:spacing w:line="360" w:lineRule="auto"/>
              <w:jc w:val="center"/>
              <w:rPr>
                <w:rFonts w:ascii="宋体" w:hAnsi="宋体"/>
                <w:sz w:val="24"/>
                <w:szCs w:val="24"/>
              </w:rPr>
            </w:pPr>
            <w:r>
              <w:rPr>
                <w:rFonts w:ascii="宋体" w:hAnsi="宋体"/>
                <w:sz w:val="24"/>
                <w:szCs w:val="24"/>
              </w:rPr>
              <w:t>依法缴纳社会保障资金证明材料</w:t>
            </w:r>
          </w:p>
        </w:tc>
        <w:tc>
          <w:tcPr>
            <w:tcW w:w="6146" w:type="dxa"/>
            <w:noWrap w:val="0"/>
            <w:vAlign w:val="center"/>
          </w:tcPr>
          <w:p>
            <w:pPr>
              <w:spacing w:line="360" w:lineRule="auto"/>
              <w:rPr>
                <w:rFonts w:ascii="宋体" w:hAnsi="宋体"/>
                <w:sz w:val="24"/>
                <w:szCs w:val="24"/>
              </w:rPr>
            </w:pPr>
            <w:r>
              <w:rPr>
                <w:rFonts w:ascii="宋体" w:hAnsi="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center"/>
          </w:tcPr>
          <w:p>
            <w:pPr>
              <w:spacing w:line="360" w:lineRule="auto"/>
              <w:jc w:val="center"/>
              <w:rPr>
                <w:rFonts w:ascii="宋体" w:hAnsi="宋体"/>
                <w:sz w:val="24"/>
                <w:szCs w:val="24"/>
              </w:rPr>
            </w:pPr>
            <w:r>
              <w:rPr>
                <w:rFonts w:ascii="宋体" w:hAnsi="宋体"/>
                <w:sz w:val="24"/>
                <w:szCs w:val="24"/>
              </w:rPr>
              <w:t>6</w:t>
            </w:r>
          </w:p>
        </w:tc>
        <w:tc>
          <w:tcPr>
            <w:tcW w:w="2189" w:type="dxa"/>
            <w:noWrap w:val="0"/>
            <w:vAlign w:val="center"/>
          </w:tcPr>
          <w:p>
            <w:pPr>
              <w:spacing w:line="360" w:lineRule="auto"/>
              <w:jc w:val="center"/>
              <w:rPr>
                <w:rFonts w:ascii="宋体" w:hAnsi="宋体"/>
                <w:sz w:val="24"/>
                <w:szCs w:val="24"/>
              </w:rPr>
            </w:pPr>
            <w:r>
              <w:rPr>
                <w:rFonts w:ascii="宋体" w:hAnsi="宋体"/>
                <w:sz w:val="24"/>
                <w:szCs w:val="24"/>
              </w:rPr>
              <w:t>具备履行合同所必需设备和专业技术能力的声明函</w:t>
            </w:r>
            <w:r>
              <w:rPr>
                <w:rFonts w:hint="eastAsia" w:ascii="宋体" w:hAnsi="宋体"/>
                <w:sz w:val="24"/>
                <w:szCs w:val="24"/>
              </w:rPr>
              <w:t>（</w:t>
            </w:r>
            <w:r>
              <w:rPr>
                <w:rFonts w:ascii="宋体" w:hAnsi="宋体"/>
                <w:sz w:val="24"/>
                <w:szCs w:val="24"/>
              </w:rPr>
              <w:t>若有</w:t>
            </w:r>
            <w:r>
              <w:rPr>
                <w:rFonts w:hint="eastAsia" w:ascii="宋体" w:hAnsi="宋体"/>
                <w:sz w:val="24"/>
                <w:szCs w:val="24"/>
              </w:rPr>
              <w:t>）</w:t>
            </w:r>
          </w:p>
        </w:tc>
        <w:tc>
          <w:tcPr>
            <w:tcW w:w="6146" w:type="dxa"/>
            <w:noWrap w:val="0"/>
            <w:vAlign w:val="center"/>
          </w:tcPr>
          <w:p>
            <w:pPr>
              <w:spacing w:line="360" w:lineRule="auto"/>
              <w:rPr>
                <w:rFonts w:ascii="宋体" w:hAnsi="宋体"/>
                <w:sz w:val="24"/>
                <w:szCs w:val="24"/>
              </w:rPr>
            </w:pPr>
            <w:r>
              <w:rPr>
                <w:rFonts w:ascii="宋体" w:hAnsi="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center"/>
          </w:tcPr>
          <w:p>
            <w:pPr>
              <w:spacing w:line="360" w:lineRule="auto"/>
              <w:jc w:val="center"/>
              <w:rPr>
                <w:rFonts w:ascii="宋体" w:hAnsi="宋体"/>
                <w:sz w:val="24"/>
                <w:szCs w:val="24"/>
              </w:rPr>
            </w:pPr>
            <w:r>
              <w:rPr>
                <w:rFonts w:ascii="宋体" w:hAnsi="宋体"/>
                <w:sz w:val="24"/>
                <w:szCs w:val="24"/>
              </w:rPr>
              <w:t>7</w:t>
            </w:r>
          </w:p>
        </w:tc>
        <w:tc>
          <w:tcPr>
            <w:tcW w:w="2189" w:type="dxa"/>
            <w:noWrap w:val="0"/>
            <w:vAlign w:val="center"/>
          </w:tcPr>
          <w:p>
            <w:pPr>
              <w:spacing w:line="360" w:lineRule="auto"/>
              <w:jc w:val="center"/>
              <w:rPr>
                <w:rFonts w:ascii="宋体" w:hAnsi="宋体"/>
                <w:sz w:val="24"/>
                <w:szCs w:val="24"/>
              </w:rPr>
            </w:pPr>
            <w:r>
              <w:rPr>
                <w:rFonts w:ascii="宋体" w:hAnsi="宋体"/>
                <w:sz w:val="24"/>
                <w:szCs w:val="24"/>
              </w:rPr>
              <w:t>参加采购活动前三年内在经营活动中没有重大违法记录的声明</w:t>
            </w:r>
          </w:p>
        </w:tc>
        <w:tc>
          <w:tcPr>
            <w:tcW w:w="6146" w:type="dxa"/>
            <w:noWrap w:val="0"/>
            <w:vAlign w:val="center"/>
          </w:tcPr>
          <w:p>
            <w:pPr>
              <w:spacing w:line="360" w:lineRule="auto"/>
              <w:rPr>
                <w:rFonts w:ascii="宋体" w:hAnsi="宋体"/>
                <w:sz w:val="24"/>
                <w:szCs w:val="24"/>
              </w:rPr>
            </w:pPr>
            <w:r>
              <w:rPr>
                <w:rFonts w:ascii="宋体" w:hAnsi="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center"/>
          </w:tcPr>
          <w:p>
            <w:pPr>
              <w:spacing w:line="360" w:lineRule="auto"/>
              <w:jc w:val="center"/>
              <w:rPr>
                <w:rFonts w:ascii="宋体" w:hAnsi="宋体"/>
                <w:sz w:val="24"/>
                <w:szCs w:val="24"/>
              </w:rPr>
            </w:pPr>
            <w:r>
              <w:rPr>
                <w:rFonts w:ascii="宋体" w:hAnsi="宋体"/>
                <w:sz w:val="24"/>
                <w:szCs w:val="24"/>
              </w:rPr>
              <w:t>8</w:t>
            </w:r>
          </w:p>
        </w:tc>
        <w:tc>
          <w:tcPr>
            <w:tcW w:w="2189" w:type="dxa"/>
            <w:noWrap w:val="0"/>
            <w:vAlign w:val="center"/>
          </w:tcPr>
          <w:p>
            <w:pPr>
              <w:spacing w:line="360" w:lineRule="auto"/>
              <w:jc w:val="center"/>
              <w:rPr>
                <w:rFonts w:ascii="宋体" w:hAnsi="宋体"/>
                <w:sz w:val="24"/>
                <w:szCs w:val="24"/>
              </w:rPr>
            </w:pPr>
            <w:r>
              <w:rPr>
                <w:rFonts w:ascii="宋体" w:hAnsi="宋体"/>
                <w:sz w:val="24"/>
                <w:szCs w:val="24"/>
              </w:rPr>
              <w:t>信用记录查询结果</w:t>
            </w:r>
          </w:p>
        </w:tc>
        <w:tc>
          <w:tcPr>
            <w:tcW w:w="6146" w:type="dxa"/>
            <w:noWrap w:val="0"/>
            <w:vAlign w:val="center"/>
          </w:tcPr>
          <w:p>
            <w:pPr>
              <w:spacing w:line="360" w:lineRule="auto"/>
              <w:rPr>
                <w:rFonts w:ascii="宋体" w:hAnsi="宋体"/>
                <w:sz w:val="24"/>
                <w:szCs w:val="24"/>
              </w:rPr>
            </w:pPr>
            <w:r>
              <w:rPr>
                <w:rFonts w:ascii="宋体" w:hAnsi="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center"/>
          </w:tcPr>
          <w:p>
            <w:pPr>
              <w:spacing w:line="360" w:lineRule="auto"/>
              <w:jc w:val="center"/>
              <w:rPr>
                <w:rFonts w:ascii="宋体" w:hAnsi="宋体"/>
                <w:sz w:val="24"/>
                <w:szCs w:val="24"/>
              </w:rPr>
            </w:pPr>
            <w:r>
              <w:rPr>
                <w:rFonts w:ascii="宋体" w:hAnsi="宋体"/>
                <w:sz w:val="24"/>
                <w:szCs w:val="24"/>
              </w:rPr>
              <w:t>9</w:t>
            </w:r>
          </w:p>
        </w:tc>
        <w:tc>
          <w:tcPr>
            <w:tcW w:w="2189" w:type="dxa"/>
            <w:noWrap w:val="0"/>
            <w:vAlign w:val="center"/>
          </w:tcPr>
          <w:p>
            <w:pPr>
              <w:spacing w:line="360" w:lineRule="auto"/>
              <w:jc w:val="center"/>
              <w:rPr>
                <w:rFonts w:ascii="宋体" w:hAnsi="宋体"/>
                <w:sz w:val="24"/>
                <w:szCs w:val="24"/>
              </w:rPr>
            </w:pPr>
            <w:r>
              <w:rPr>
                <w:rFonts w:ascii="宋体" w:hAnsi="宋体"/>
                <w:sz w:val="24"/>
                <w:szCs w:val="24"/>
              </w:rPr>
              <w:t>中小企业声明函（以资格条件落实中小企业扶持政策时适用）</w:t>
            </w:r>
          </w:p>
        </w:tc>
        <w:tc>
          <w:tcPr>
            <w:tcW w:w="6146" w:type="dxa"/>
            <w:noWrap w:val="0"/>
            <w:vAlign w:val="center"/>
          </w:tcPr>
          <w:p>
            <w:pPr>
              <w:spacing w:line="360" w:lineRule="auto"/>
              <w:rPr>
                <w:rFonts w:ascii="宋体" w:hAnsi="宋体"/>
                <w:sz w:val="24"/>
                <w:szCs w:val="24"/>
              </w:rPr>
            </w:pPr>
            <w:r>
              <w:rPr>
                <w:rFonts w:ascii="宋体" w:hAnsi="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31" w:type="dxa"/>
            <w:noWrap w:val="0"/>
            <w:vAlign w:val="center"/>
          </w:tcPr>
          <w:p>
            <w:pPr>
              <w:spacing w:line="360" w:lineRule="auto"/>
              <w:jc w:val="center"/>
              <w:rPr>
                <w:rFonts w:ascii="宋体" w:hAnsi="宋体"/>
                <w:sz w:val="24"/>
                <w:szCs w:val="24"/>
              </w:rPr>
            </w:pPr>
            <w:r>
              <w:rPr>
                <w:rFonts w:ascii="宋体" w:hAnsi="宋体"/>
                <w:sz w:val="24"/>
                <w:szCs w:val="24"/>
              </w:rPr>
              <w:t>10</w:t>
            </w:r>
          </w:p>
        </w:tc>
        <w:tc>
          <w:tcPr>
            <w:tcW w:w="2189" w:type="dxa"/>
            <w:noWrap w:val="0"/>
            <w:vAlign w:val="center"/>
          </w:tcPr>
          <w:p>
            <w:pPr>
              <w:spacing w:line="360" w:lineRule="auto"/>
              <w:jc w:val="center"/>
              <w:rPr>
                <w:rFonts w:ascii="宋体" w:hAnsi="宋体"/>
                <w:sz w:val="24"/>
                <w:szCs w:val="24"/>
              </w:rPr>
            </w:pPr>
            <w:r>
              <w:rPr>
                <w:rFonts w:ascii="宋体" w:hAnsi="宋体"/>
                <w:sz w:val="24"/>
                <w:szCs w:val="24"/>
              </w:rPr>
              <w:t>联合体协议（若有）</w:t>
            </w:r>
          </w:p>
        </w:tc>
        <w:tc>
          <w:tcPr>
            <w:tcW w:w="6146" w:type="dxa"/>
            <w:noWrap w:val="0"/>
            <w:vAlign w:val="center"/>
          </w:tcPr>
          <w:p>
            <w:pPr>
              <w:spacing w:line="360" w:lineRule="auto"/>
              <w:rPr>
                <w:rFonts w:ascii="宋体" w:hAnsi="宋体"/>
                <w:sz w:val="24"/>
                <w:szCs w:val="24"/>
              </w:rPr>
            </w:pPr>
            <w:r>
              <w:rPr>
                <w:rFonts w:ascii="宋体" w:hAnsi="宋体"/>
                <w:sz w:val="24"/>
                <w:szCs w:val="24"/>
              </w:rPr>
              <w:t>①招标文件接受联合体投标且投标人为联合体的，投标人应提供本协议；否则无须提供。</w:t>
            </w:r>
          </w:p>
          <w:p>
            <w:pPr>
              <w:spacing w:line="360" w:lineRule="auto"/>
              <w:rPr>
                <w:rFonts w:ascii="宋体" w:hAnsi="宋体"/>
                <w:sz w:val="24"/>
                <w:szCs w:val="24"/>
              </w:rPr>
            </w:pPr>
            <w:r>
              <w:rPr>
                <w:rFonts w:ascii="宋体" w:hAnsi="宋体"/>
                <w:sz w:val="24"/>
                <w:szCs w:val="24"/>
              </w:rPr>
              <w:t>②本协议由委托代理人签字或盖章的，应按照招标文件第七章载明的格式提供“单位授权书”。</w:t>
            </w:r>
          </w:p>
        </w:tc>
      </w:tr>
    </w:tbl>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※备注说明</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①投标人应根据自身实际情况提供上述资格要求的证明材料，格式可参考招标文件第七章提供。</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②投标人提供的相应证明材料复印件均应符合：内容完整、清晰、整洁，并由投标人加盖其单位公章。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②.其他资格证明文件：</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采购包1：</w:t>
      </w:r>
    </w:p>
    <w:tbl>
      <w:tblPr>
        <w:tblStyle w:val="18"/>
        <w:tblW w:w="92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55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noWrap w:val="0"/>
            <w:vAlign w:val="center"/>
          </w:tcPr>
          <w:p>
            <w:pPr>
              <w:spacing w:line="360" w:lineRule="auto"/>
              <w:jc w:val="center"/>
              <w:rPr>
                <w:rFonts w:ascii="宋体" w:hAnsi="宋体"/>
                <w:sz w:val="24"/>
                <w:szCs w:val="24"/>
              </w:rPr>
            </w:pPr>
            <w:r>
              <w:rPr>
                <w:rFonts w:ascii="宋体" w:hAnsi="宋体"/>
                <w:sz w:val="24"/>
                <w:szCs w:val="24"/>
              </w:rPr>
              <w:t>资格审查要求概况</w:t>
            </w:r>
          </w:p>
        </w:tc>
        <w:tc>
          <w:tcPr>
            <w:tcW w:w="5545" w:type="dxa"/>
            <w:noWrap w:val="0"/>
            <w:vAlign w:val="center"/>
          </w:tcPr>
          <w:p>
            <w:pPr>
              <w:spacing w:line="360" w:lineRule="auto"/>
              <w:jc w:val="center"/>
              <w:rPr>
                <w:rFonts w:ascii="宋体" w:hAnsi="宋体"/>
                <w:sz w:val="24"/>
                <w:szCs w:val="24"/>
              </w:rPr>
            </w:pPr>
            <w:r>
              <w:rPr>
                <w:rFonts w:ascii="宋体" w:hAnsi="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3692" w:type="dxa"/>
            <w:noWrap w:val="0"/>
            <w:vAlign w:val="center"/>
          </w:tcPr>
          <w:p>
            <w:pPr>
              <w:spacing w:line="360" w:lineRule="auto"/>
              <w:jc w:val="center"/>
              <w:rPr>
                <w:rFonts w:ascii="宋体" w:hAnsi="宋体"/>
                <w:sz w:val="24"/>
                <w:szCs w:val="24"/>
              </w:rPr>
            </w:pPr>
            <w:r>
              <w:rPr>
                <w:rFonts w:hint="eastAsia" w:ascii="宋体" w:hAnsi="宋体"/>
                <w:sz w:val="24"/>
                <w:szCs w:val="24"/>
              </w:rPr>
              <w:t>（同第一章）</w:t>
            </w:r>
          </w:p>
        </w:tc>
        <w:tc>
          <w:tcPr>
            <w:tcW w:w="5545" w:type="dxa"/>
            <w:noWrap w:val="0"/>
            <w:vAlign w:val="center"/>
          </w:tcPr>
          <w:p>
            <w:pPr>
              <w:spacing w:line="360" w:lineRule="auto"/>
              <w:rPr>
                <w:rFonts w:ascii="宋体" w:hAnsi="宋体"/>
                <w:sz w:val="24"/>
                <w:szCs w:val="24"/>
              </w:rPr>
            </w:pPr>
          </w:p>
        </w:tc>
      </w:tr>
    </w:tbl>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（3）投标保证金。</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1.4有下列情形之一的，资格审查不合格：</w:t>
      </w:r>
    </w:p>
    <w:tbl>
      <w:tblPr>
        <w:tblStyle w:val="18"/>
        <w:tblW w:w="922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noWrap w:val="0"/>
            <w:vAlign w:val="top"/>
          </w:tcPr>
          <w:p>
            <w:pPr>
              <w:spacing w:line="360" w:lineRule="auto"/>
              <w:jc w:val="center"/>
              <w:rPr>
                <w:sz w:val="24"/>
                <w:szCs w:val="24"/>
              </w:rPr>
            </w:pPr>
            <w:r>
              <w:rPr>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noWrap w:val="0"/>
            <w:vAlign w:val="top"/>
          </w:tcPr>
          <w:p>
            <w:pPr>
              <w:spacing w:line="360" w:lineRule="auto"/>
              <w:rPr>
                <w:sz w:val="24"/>
                <w:szCs w:val="24"/>
              </w:rPr>
            </w:pPr>
            <w:r>
              <w:rPr>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noWrap w:val="0"/>
            <w:vAlign w:val="top"/>
          </w:tcPr>
          <w:p>
            <w:pPr>
              <w:spacing w:line="360" w:lineRule="auto"/>
              <w:rPr>
                <w:sz w:val="24"/>
                <w:szCs w:val="24"/>
              </w:rPr>
            </w:pPr>
            <w:r>
              <w:rPr>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7" w:type="dxa"/>
            <w:noWrap w:val="0"/>
            <w:vAlign w:val="top"/>
          </w:tcPr>
          <w:p>
            <w:pPr>
              <w:spacing w:line="360" w:lineRule="auto"/>
              <w:rPr>
                <w:sz w:val="24"/>
                <w:szCs w:val="24"/>
              </w:rPr>
            </w:pPr>
            <w:r>
              <w:rPr>
                <w:sz w:val="24"/>
                <w:szCs w:val="24"/>
              </w:rPr>
              <w:t>未按照招标文件规定提交投标保证金</w:t>
            </w:r>
          </w:p>
        </w:tc>
      </w:tr>
    </w:tbl>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采购包1：</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资格审查不合格项：无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2、资格审查情况不得私自外泄，有关信息由</w:t>
      </w:r>
      <w:r>
        <w:rPr>
          <w:rFonts w:hint="eastAsia" w:ascii="宋体" w:hAnsi="宋体"/>
          <w:sz w:val="24"/>
          <w:szCs w:val="24"/>
          <w:lang w:eastAsia="zh-CN"/>
        </w:rPr>
        <w:t>厦门市公物投资管理有限公司</w:t>
      </w:r>
      <w:r>
        <w:rPr>
          <w:rFonts w:ascii="宋体" w:hAnsi="宋体"/>
          <w:sz w:val="24"/>
          <w:szCs w:val="24"/>
        </w:rPr>
        <w:t>统一对外发布。</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3、资格审查合格的投标人不足三家的，不进行评标。同时，本次采购活动结束，</w:t>
      </w:r>
      <w:r>
        <w:rPr>
          <w:rFonts w:hint="eastAsia" w:ascii="宋体" w:hAnsi="宋体"/>
          <w:sz w:val="24"/>
          <w:szCs w:val="24"/>
          <w:lang w:eastAsia="zh-CN"/>
        </w:rPr>
        <w:t>厦门市公物投资管理有限公司</w:t>
      </w:r>
      <w:r>
        <w:rPr>
          <w:rFonts w:ascii="宋体" w:hAnsi="宋体"/>
          <w:sz w:val="24"/>
          <w:szCs w:val="24"/>
        </w:rPr>
        <w:t>将依法组织后续采购活动（包括但不限于：重新招标、采用其他方式采购等）。</w:t>
      </w:r>
    </w:p>
    <w:p>
      <w:pPr>
        <w:pStyle w:val="3"/>
        <w:spacing w:beforeLines="100" w:afterLines="100" w:line="240" w:lineRule="auto"/>
        <w:jc w:val="center"/>
        <w:rPr>
          <w:rFonts w:ascii="黑体" w:hAnsi="黑体" w:eastAsia="黑体" w:cs="Times New Roman"/>
          <w:kern w:val="0"/>
          <w:sz w:val="30"/>
        </w:rPr>
      </w:pPr>
      <w:bookmarkStart w:id="17" w:name="_Toc139103796"/>
      <w:r>
        <w:rPr>
          <w:rFonts w:ascii="黑体" w:hAnsi="黑体" w:eastAsia="黑体" w:cs="Times New Roman"/>
          <w:kern w:val="0"/>
          <w:sz w:val="30"/>
        </w:rPr>
        <w:t>二、评标</w:t>
      </w:r>
      <w:bookmarkEnd w:id="17"/>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4、资格审查结束后，由</w:t>
      </w:r>
      <w:r>
        <w:rPr>
          <w:rFonts w:hint="eastAsia" w:ascii="宋体" w:hAnsi="宋体"/>
          <w:sz w:val="24"/>
          <w:szCs w:val="24"/>
          <w:lang w:eastAsia="zh-CN"/>
        </w:rPr>
        <w:t>厦门市公物投资管理有限公司</w:t>
      </w:r>
      <w:r>
        <w:rPr>
          <w:rFonts w:ascii="宋体" w:hAnsi="宋体"/>
          <w:sz w:val="24"/>
          <w:szCs w:val="24"/>
        </w:rPr>
        <w:t>负责评标委员会的组建及评标工作的组织。</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5、评标委员会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由采购人代表和评审专家两部分共</w:t>
      </w:r>
      <w:r>
        <w:rPr>
          <w:rFonts w:ascii="宋体" w:hAnsi="宋体"/>
          <w:sz w:val="24"/>
          <w:szCs w:val="24"/>
          <w:highlight w:val="yellow"/>
        </w:rPr>
        <w:t>5人</w:t>
      </w:r>
      <w:r>
        <w:rPr>
          <w:rFonts w:ascii="宋体" w:hAnsi="宋体"/>
          <w:sz w:val="24"/>
          <w:szCs w:val="24"/>
        </w:rPr>
        <w:t>组成，其中由福建省政府采购评审专家库产生的评审专家</w:t>
      </w:r>
      <w:r>
        <w:rPr>
          <w:rFonts w:ascii="宋体" w:hAnsi="宋体"/>
          <w:sz w:val="24"/>
          <w:szCs w:val="24"/>
          <w:highlight w:val="yellow"/>
        </w:rPr>
        <w:t>4</w:t>
      </w:r>
      <w:r>
        <w:rPr>
          <w:rFonts w:ascii="宋体" w:hAnsi="宋体"/>
          <w:sz w:val="24"/>
          <w:szCs w:val="24"/>
        </w:rPr>
        <w:t>人，由采购人派出的采购人代表1人。</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5.2评标委员会负责具体评标事务，并按照下列原则依法独立履行有关职责：</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（1）评标应保护国家利益、社会公共利益和各方当事人合法权益，提高采购效益，保证项目质量。</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（2）评标应遵循公平、公正、科学、严谨和择优原则。</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（3）评标的依据是招标文件和电子投标文件。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（4）应按照招标文件规定推荐中标候选人或确定中标人。</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（5）评标应遵守下列评标纪律：</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①评标情况不得私自外泄，有关信息由</w:t>
      </w:r>
      <w:r>
        <w:rPr>
          <w:rFonts w:hint="eastAsia" w:ascii="宋体" w:hAnsi="宋体"/>
          <w:sz w:val="24"/>
          <w:szCs w:val="24"/>
          <w:lang w:eastAsia="zh-CN"/>
        </w:rPr>
        <w:t>厦门市公物投资管理有限公司</w:t>
      </w:r>
      <w:r>
        <w:rPr>
          <w:rFonts w:ascii="宋体" w:hAnsi="宋体"/>
          <w:sz w:val="24"/>
          <w:szCs w:val="24"/>
        </w:rPr>
        <w:t>统一对外发布。</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②对</w:t>
      </w:r>
      <w:r>
        <w:rPr>
          <w:rFonts w:hint="eastAsia" w:ascii="宋体" w:hAnsi="宋体"/>
          <w:sz w:val="24"/>
          <w:szCs w:val="24"/>
          <w:lang w:eastAsia="zh-CN"/>
        </w:rPr>
        <w:t>厦门市公物投资管理有限公司</w:t>
      </w:r>
      <w:r>
        <w:rPr>
          <w:rFonts w:ascii="宋体" w:hAnsi="宋体"/>
          <w:sz w:val="24"/>
          <w:szCs w:val="24"/>
        </w:rPr>
        <w:t>或投标人提供的要求保密的资料，不得摘记翻印和外传。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③不得收受投标人或有关人员的任何礼物，不得串联鼓动其他人袒护某投标人。若与投标人存在利害关系，则应主动声明并回避。</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④全体评委应按照招标文件规定进行评标，一切认定事项应查有实据且不得弄虚作假。</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⑤评标中应充分发扬民主，推荐中标候选人或确定中标人后要服从评标报告。</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※对违反评标纪律的评委，将取消其评委资格，对评标工作造成严重损失者将予以通报批评乃至追究法律责任。</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6、评标程序</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6.1评标前的准备工作</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（1）全体评委应认真审阅招标文件，了解评委应履行或遵守的职责、义务和评标纪律。</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6.2符合性审查</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（1）评标委员会依据招标文件的实质性要求，对通过资格审查的电子投标文件进行符合性审查，以确定其是否满足招标文件的实质性要求。</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（2）满足招标文件的实质性要求指电子投标文件对招标文件实质性要求的响应不存在重大偏差或保留。</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（5）评标委员会对所有投标人都执行相同的程序和标准。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（6）有下列情形之一的，符合性审查不合格：</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①项目一般情形：</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采购包1：</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9"/>
        <w:gridCol w:w="2282"/>
        <w:gridCol w:w="59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noWrap w:val="0"/>
            <w:vAlign w:val="center"/>
          </w:tcPr>
          <w:p>
            <w:pPr>
              <w:spacing w:line="360" w:lineRule="auto"/>
              <w:jc w:val="center"/>
              <w:rPr>
                <w:rFonts w:ascii="宋体" w:hAnsi="宋体"/>
                <w:sz w:val="24"/>
                <w:szCs w:val="24"/>
              </w:rPr>
            </w:pPr>
            <w:r>
              <w:rPr>
                <w:rFonts w:ascii="宋体" w:hAnsi="宋体"/>
                <w:sz w:val="24"/>
                <w:szCs w:val="24"/>
              </w:rPr>
              <w:t>序号</w:t>
            </w:r>
          </w:p>
        </w:tc>
        <w:tc>
          <w:tcPr>
            <w:tcW w:w="2282" w:type="dxa"/>
            <w:noWrap w:val="0"/>
            <w:vAlign w:val="center"/>
          </w:tcPr>
          <w:p>
            <w:pPr>
              <w:spacing w:line="360" w:lineRule="auto"/>
              <w:jc w:val="center"/>
              <w:rPr>
                <w:rFonts w:ascii="宋体" w:hAnsi="宋体"/>
                <w:sz w:val="24"/>
                <w:szCs w:val="24"/>
              </w:rPr>
            </w:pPr>
            <w:r>
              <w:rPr>
                <w:rFonts w:ascii="宋体" w:hAnsi="宋体"/>
                <w:sz w:val="24"/>
                <w:szCs w:val="24"/>
              </w:rPr>
              <w:t>符合审查要求概况</w:t>
            </w:r>
          </w:p>
        </w:tc>
        <w:tc>
          <w:tcPr>
            <w:tcW w:w="5903" w:type="dxa"/>
            <w:noWrap w:val="0"/>
            <w:vAlign w:val="center"/>
          </w:tcPr>
          <w:p>
            <w:pPr>
              <w:spacing w:line="360" w:lineRule="auto"/>
              <w:jc w:val="center"/>
              <w:rPr>
                <w:rFonts w:ascii="宋体" w:hAnsi="宋体"/>
                <w:sz w:val="24"/>
                <w:szCs w:val="24"/>
              </w:rPr>
            </w:pPr>
            <w:r>
              <w:rPr>
                <w:rFonts w:ascii="宋体" w:hAnsi="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noWrap w:val="0"/>
            <w:vAlign w:val="center"/>
          </w:tcPr>
          <w:p>
            <w:pPr>
              <w:spacing w:line="360" w:lineRule="auto"/>
              <w:jc w:val="center"/>
              <w:rPr>
                <w:rFonts w:ascii="宋体" w:hAnsi="宋体"/>
                <w:sz w:val="24"/>
                <w:szCs w:val="24"/>
              </w:rPr>
            </w:pPr>
            <w:r>
              <w:rPr>
                <w:rFonts w:ascii="宋体" w:hAnsi="宋体"/>
                <w:sz w:val="24"/>
                <w:szCs w:val="24"/>
              </w:rPr>
              <w:t>1</w:t>
            </w:r>
          </w:p>
        </w:tc>
        <w:tc>
          <w:tcPr>
            <w:tcW w:w="2282" w:type="dxa"/>
            <w:noWrap w:val="0"/>
            <w:vAlign w:val="center"/>
          </w:tcPr>
          <w:p>
            <w:pPr>
              <w:spacing w:line="360" w:lineRule="auto"/>
              <w:jc w:val="center"/>
              <w:rPr>
                <w:rFonts w:ascii="宋体" w:hAnsi="宋体"/>
                <w:sz w:val="24"/>
                <w:szCs w:val="24"/>
              </w:rPr>
            </w:pPr>
            <w:r>
              <w:rPr>
                <w:rFonts w:ascii="宋体" w:hAnsi="宋体"/>
                <w:sz w:val="24"/>
                <w:szCs w:val="24"/>
              </w:rPr>
              <w:t>情形1</w:t>
            </w:r>
          </w:p>
        </w:tc>
        <w:tc>
          <w:tcPr>
            <w:tcW w:w="5903" w:type="dxa"/>
            <w:noWrap w:val="0"/>
            <w:vAlign w:val="center"/>
          </w:tcPr>
          <w:p>
            <w:pPr>
              <w:spacing w:line="360" w:lineRule="auto"/>
              <w:rPr>
                <w:rFonts w:ascii="宋体" w:hAnsi="宋体"/>
                <w:sz w:val="24"/>
                <w:szCs w:val="24"/>
              </w:rPr>
            </w:pPr>
            <w:r>
              <w:rPr>
                <w:rFonts w:ascii="宋体" w:hAnsi="宋体"/>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noWrap w:val="0"/>
            <w:vAlign w:val="center"/>
          </w:tcPr>
          <w:p>
            <w:pPr>
              <w:spacing w:line="360" w:lineRule="auto"/>
              <w:jc w:val="center"/>
              <w:rPr>
                <w:rFonts w:ascii="宋体" w:hAnsi="宋体"/>
                <w:sz w:val="24"/>
                <w:szCs w:val="24"/>
              </w:rPr>
            </w:pPr>
            <w:r>
              <w:rPr>
                <w:rFonts w:ascii="宋体" w:hAnsi="宋体"/>
                <w:sz w:val="24"/>
                <w:szCs w:val="24"/>
              </w:rPr>
              <w:t>2</w:t>
            </w:r>
          </w:p>
        </w:tc>
        <w:tc>
          <w:tcPr>
            <w:tcW w:w="2282" w:type="dxa"/>
            <w:noWrap w:val="0"/>
            <w:vAlign w:val="center"/>
          </w:tcPr>
          <w:p>
            <w:pPr>
              <w:spacing w:line="360" w:lineRule="auto"/>
              <w:jc w:val="center"/>
              <w:rPr>
                <w:rFonts w:ascii="宋体" w:hAnsi="宋体"/>
                <w:sz w:val="24"/>
                <w:szCs w:val="24"/>
              </w:rPr>
            </w:pPr>
            <w:r>
              <w:rPr>
                <w:rFonts w:ascii="宋体" w:hAnsi="宋体"/>
                <w:sz w:val="24"/>
                <w:szCs w:val="24"/>
              </w:rPr>
              <w:t>情形2</w:t>
            </w:r>
          </w:p>
        </w:tc>
        <w:tc>
          <w:tcPr>
            <w:tcW w:w="5903" w:type="dxa"/>
            <w:noWrap w:val="0"/>
            <w:vAlign w:val="center"/>
          </w:tcPr>
          <w:p>
            <w:pPr>
              <w:spacing w:line="360" w:lineRule="auto"/>
              <w:rPr>
                <w:rFonts w:ascii="宋体" w:hAnsi="宋体"/>
                <w:sz w:val="24"/>
                <w:szCs w:val="24"/>
              </w:rPr>
            </w:pPr>
            <w:r>
              <w:rPr>
                <w:rFonts w:ascii="宋体" w:hAnsi="宋体"/>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noWrap w:val="0"/>
            <w:vAlign w:val="center"/>
          </w:tcPr>
          <w:p>
            <w:pPr>
              <w:spacing w:line="360" w:lineRule="auto"/>
              <w:jc w:val="center"/>
              <w:rPr>
                <w:rFonts w:ascii="宋体" w:hAnsi="宋体"/>
                <w:sz w:val="24"/>
                <w:szCs w:val="24"/>
              </w:rPr>
            </w:pPr>
            <w:r>
              <w:rPr>
                <w:rFonts w:ascii="宋体" w:hAnsi="宋体"/>
                <w:sz w:val="24"/>
                <w:szCs w:val="24"/>
              </w:rPr>
              <w:t>3</w:t>
            </w:r>
          </w:p>
        </w:tc>
        <w:tc>
          <w:tcPr>
            <w:tcW w:w="2282" w:type="dxa"/>
            <w:noWrap w:val="0"/>
            <w:vAlign w:val="center"/>
          </w:tcPr>
          <w:p>
            <w:pPr>
              <w:spacing w:line="360" w:lineRule="auto"/>
              <w:jc w:val="center"/>
              <w:rPr>
                <w:rFonts w:ascii="宋体" w:hAnsi="宋体"/>
                <w:sz w:val="24"/>
                <w:szCs w:val="24"/>
              </w:rPr>
            </w:pPr>
            <w:r>
              <w:rPr>
                <w:rFonts w:ascii="宋体" w:hAnsi="宋体"/>
                <w:sz w:val="24"/>
                <w:szCs w:val="24"/>
              </w:rPr>
              <w:t>情形3</w:t>
            </w:r>
          </w:p>
        </w:tc>
        <w:tc>
          <w:tcPr>
            <w:tcW w:w="5903" w:type="dxa"/>
            <w:noWrap w:val="0"/>
            <w:vAlign w:val="center"/>
          </w:tcPr>
          <w:p>
            <w:pPr>
              <w:spacing w:line="360" w:lineRule="auto"/>
              <w:rPr>
                <w:rFonts w:ascii="宋体" w:hAnsi="宋体"/>
                <w:sz w:val="24"/>
                <w:szCs w:val="24"/>
              </w:rPr>
            </w:pPr>
            <w:r>
              <w:rPr>
                <w:rFonts w:ascii="宋体" w:hAnsi="宋体"/>
                <w:sz w:val="24"/>
                <w:szCs w:val="24"/>
              </w:rPr>
              <w:t>投标文件对招标文件实质性要求的响应存在重大偏离或保留。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noWrap w:val="0"/>
            <w:vAlign w:val="center"/>
          </w:tcPr>
          <w:p>
            <w:pPr>
              <w:spacing w:line="360" w:lineRule="auto"/>
              <w:jc w:val="center"/>
              <w:rPr>
                <w:rFonts w:ascii="宋体" w:hAnsi="宋体"/>
                <w:sz w:val="24"/>
                <w:szCs w:val="24"/>
              </w:rPr>
            </w:pPr>
            <w:r>
              <w:rPr>
                <w:rFonts w:hint="eastAsia" w:ascii="宋体" w:hAnsi="宋体"/>
                <w:sz w:val="24"/>
                <w:szCs w:val="24"/>
              </w:rPr>
              <w:t>4</w:t>
            </w:r>
          </w:p>
        </w:tc>
        <w:tc>
          <w:tcPr>
            <w:tcW w:w="2282" w:type="dxa"/>
            <w:noWrap w:val="0"/>
            <w:vAlign w:val="center"/>
          </w:tcPr>
          <w:p>
            <w:pPr>
              <w:spacing w:line="360" w:lineRule="auto"/>
              <w:jc w:val="center"/>
              <w:rPr>
                <w:rFonts w:hint="eastAsia" w:ascii="宋体" w:hAnsi="宋体" w:eastAsia="宋体"/>
                <w:sz w:val="24"/>
                <w:szCs w:val="24"/>
                <w:highlight w:val="none"/>
                <w:lang w:val="en-US" w:eastAsia="zh-CN"/>
              </w:rPr>
            </w:pPr>
            <w:r>
              <w:rPr>
                <w:rFonts w:hint="eastAsia" w:ascii="宋体" w:hAnsi="宋体"/>
                <w:b/>
                <w:bCs/>
                <w:sz w:val="24"/>
                <w:szCs w:val="24"/>
                <w:highlight w:val="none"/>
              </w:rPr>
              <w:t>带★号条款</w:t>
            </w:r>
            <w:r>
              <w:rPr>
                <w:rFonts w:hint="eastAsia" w:ascii="宋体" w:hAnsi="宋体"/>
                <w:b/>
                <w:bCs/>
                <w:sz w:val="24"/>
                <w:szCs w:val="24"/>
                <w:highlight w:val="none"/>
                <w:lang w:val="en-US" w:eastAsia="zh-CN"/>
              </w:rPr>
              <w:t>1</w:t>
            </w:r>
          </w:p>
        </w:tc>
        <w:tc>
          <w:tcPr>
            <w:tcW w:w="5903" w:type="dxa"/>
            <w:noWrap w:val="0"/>
            <w:vAlign w:val="center"/>
          </w:tcPr>
          <w:p>
            <w:pPr>
              <w:spacing w:line="360" w:lineRule="auto"/>
              <w:rPr>
                <w:rFonts w:hint="eastAsia" w:ascii="宋体" w:hAnsi="宋体" w:eastAsia="宋体"/>
                <w:sz w:val="24"/>
                <w:szCs w:val="24"/>
                <w:highlight w:val="none"/>
                <w:lang w:eastAsia="zh-CN"/>
              </w:rPr>
            </w:pPr>
            <w:r>
              <w:rPr>
                <w:rFonts w:hint="eastAsia" w:ascii="宋体" w:hAnsi="宋体"/>
                <w:b/>
                <w:bCs/>
                <w:sz w:val="24"/>
                <w:szCs w:val="24"/>
                <w:highlight w:val="none"/>
              </w:rPr>
              <w:t>2.3</w:t>
            </w:r>
            <w:r>
              <w:rPr>
                <w:rFonts w:hint="eastAsia" w:ascii="宋体" w:hAnsi="宋体"/>
                <w:b/>
                <w:bCs/>
                <w:sz w:val="24"/>
                <w:szCs w:val="24"/>
                <w:highlight w:val="none"/>
                <w:lang w:val="en-US" w:eastAsia="zh-CN"/>
              </w:rPr>
              <w:t>2</w:t>
            </w:r>
            <w:r>
              <w:rPr>
                <w:rFonts w:hint="eastAsia" w:ascii="宋体" w:hAnsi="宋体" w:eastAsia="宋体" w:cs="宋体"/>
                <w:b/>
                <w:bCs/>
                <w:kern w:val="0"/>
                <w:sz w:val="24"/>
                <w:szCs w:val="24"/>
                <w:highlight w:val="none"/>
              </w:rPr>
              <w:t>★</w:t>
            </w:r>
            <w:r>
              <w:rPr>
                <w:rFonts w:hint="eastAsia" w:ascii="宋体" w:hAnsi="宋体" w:eastAsia="宋体" w:cs="Times New Roman"/>
                <w:b/>
                <w:bCs/>
                <w:sz w:val="24"/>
                <w:szCs w:val="28"/>
                <w:highlight w:val="none"/>
                <w:lang w:val="en-US" w:eastAsia="zh-CN"/>
              </w:rPr>
              <w:t>以上2.1～2.31条款，除标注“▲”条款外，其余条款均为设备基本配置要求</w:t>
            </w:r>
            <w:r>
              <w:rPr>
                <w:rStyle w:val="47"/>
                <w:rFonts w:hint="eastAsia" w:ascii="宋体" w:hAnsi="宋体" w:eastAsia="宋体" w:cs="宋体"/>
                <w:b/>
                <w:bCs/>
                <w:sz w:val="24"/>
                <w:szCs w:val="24"/>
                <w:highlight w:val="none"/>
              </w:rPr>
              <w:t>及项目基本要求</w:t>
            </w:r>
            <w:r>
              <w:rPr>
                <w:rFonts w:hint="eastAsia" w:ascii="宋体" w:hAnsi="宋体" w:eastAsia="宋体" w:cs="Times New Roman"/>
                <w:b/>
                <w:bCs/>
                <w:sz w:val="24"/>
                <w:szCs w:val="28"/>
                <w:highlight w:val="none"/>
                <w:lang w:val="en-US" w:eastAsia="zh-CN"/>
              </w:rPr>
              <w:t>，投标人若存在不满足或负偏离的，投标无效。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89" w:type="dxa"/>
            <w:noWrap w:val="0"/>
            <w:vAlign w:val="center"/>
          </w:tcPr>
          <w:p>
            <w:pPr>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282" w:type="dxa"/>
            <w:noWrap w:val="0"/>
            <w:vAlign w:val="center"/>
          </w:tcPr>
          <w:p>
            <w:pPr>
              <w:spacing w:line="360" w:lineRule="auto"/>
              <w:jc w:val="center"/>
              <w:rPr>
                <w:rFonts w:hint="eastAsia" w:ascii="宋体" w:hAnsi="宋体"/>
                <w:b/>
                <w:bCs/>
                <w:sz w:val="24"/>
                <w:szCs w:val="24"/>
                <w:highlight w:val="none"/>
              </w:rPr>
            </w:pPr>
            <w:r>
              <w:rPr>
                <w:rFonts w:hint="eastAsia" w:ascii="宋体" w:hAnsi="宋体"/>
                <w:b/>
                <w:bCs/>
                <w:sz w:val="24"/>
                <w:szCs w:val="24"/>
                <w:highlight w:val="none"/>
              </w:rPr>
              <w:t>带★号条款</w:t>
            </w:r>
            <w:r>
              <w:rPr>
                <w:rFonts w:hint="eastAsia" w:ascii="宋体" w:hAnsi="宋体"/>
                <w:b/>
                <w:bCs/>
                <w:sz w:val="24"/>
                <w:szCs w:val="24"/>
                <w:highlight w:val="none"/>
                <w:lang w:val="en-US" w:eastAsia="zh-CN"/>
              </w:rPr>
              <w:t>2</w:t>
            </w:r>
          </w:p>
        </w:tc>
        <w:tc>
          <w:tcPr>
            <w:tcW w:w="5903" w:type="dxa"/>
            <w:noWrap w:val="0"/>
            <w:vAlign w:val="center"/>
          </w:tcPr>
          <w:p>
            <w:pPr>
              <w:spacing w:line="360" w:lineRule="auto"/>
              <w:rPr>
                <w:rFonts w:hint="eastAsia" w:ascii="宋体" w:hAnsi="宋体"/>
                <w:b/>
                <w:bCs/>
                <w:sz w:val="24"/>
                <w:szCs w:val="24"/>
                <w:highlight w:val="none"/>
              </w:rPr>
            </w:pPr>
            <w:r>
              <w:rPr>
                <w:rFonts w:hint="eastAsia" w:ascii="宋体" w:hAnsi="宋体"/>
                <w:b/>
                <w:bCs/>
                <w:sz w:val="24"/>
                <w:szCs w:val="24"/>
                <w:highlight w:val="none"/>
              </w:rPr>
              <w:t>8.2★质保期：不少于3年，自所有货物验收合格交付使用之日起计算，质保期内，设备发生任何质量问题，均由中标人负责免费修复，失效零件予以免费更换，更换时所发生的商检、运输、清关等费用均由中标人负责。投标人提供相应的书面承诺。</w:t>
            </w:r>
          </w:p>
        </w:tc>
      </w:tr>
    </w:tbl>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②本项目规定的其他情形：</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采购包1：</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技术符合性</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noWrap w:val="0"/>
            <w:vAlign w:val="center"/>
          </w:tcPr>
          <w:p>
            <w:pPr>
              <w:spacing w:line="360" w:lineRule="auto"/>
              <w:jc w:val="center"/>
              <w:rPr>
                <w:rFonts w:ascii="宋体" w:hAnsi="宋体"/>
                <w:sz w:val="24"/>
                <w:szCs w:val="24"/>
              </w:rPr>
            </w:pPr>
            <w:r>
              <w:rPr>
                <w:rFonts w:ascii="宋体" w:hAnsi="宋体"/>
                <w:sz w:val="24"/>
                <w:szCs w:val="24"/>
              </w:rPr>
              <w:t>情形</w:t>
            </w:r>
          </w:p>
        </w:tc>
        <w:tc>
          <w:tcPr>
            <w:tcW w:w="7451" w:type="dxa"/>
            <w:noWrap w:val="0"/>
            <w:vAlign w:val="center"/>
          </w:tcPr>
          <w:p>
            <w:pPr>
              <w:spacing w:line="360" w:lineRule="auto"/>
              <w:jc w:val="center"/>
              <w:rPr>
                <w:rFonts w:ascii="宋体" w:hAnsi="宋体"/>
                <w:sz w:val="24"/>
                <w:szCs w:val="24"/>
              </w:rPr>
            </w:pPr>
            <w:r>
              <w:rPr>
                <w:rFonts w:ascii="宋体" w:hAnsi="宋体"/>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noWrap w:val="0"/>
            <w:vAlign w:val="center"/>
          </w:tcPr>
          <w:p>
            <w:pPr>
              <w:spacing w:line="360" w:lineRule="auto"/>
              <w:jc w:val="center"/>
              <w:rPr>
                <w:rFonts w:ascii="宋体" w:hAnsi="宋体"/>
                <w:sz w:val="24"/>
                <w:szCs w:val="24"/>
              </w:rPr>
            </w:pPr>
            <w:r>
              <w:rPr>
                <w:rFonts w:ascii="宋体" w:hAnsi="宋体"/>
                <w:sz w:val="24"/>
                <w:szCs w:val="24"/>
              </w:rPr>
              <w:t>其他情形</w:t>
            </w:r>
          </w:p>
        </w:tc>
        <w:tc>
          <w:tcPr>
            <w:tcW w:w="7451" w:type="dxa"/>
            <w:noWrap w:val="0"/>
            <w:vAlign w:val="center"/>
          </w:tcPr>
          <w:p>
            <w:pPr>
              <w:spacing w:line="360" w:lineRule="auto"/>
              <w:rPr>
                <w:rFonts w:ascii="宋体" w:hAnsi="宋体"/>
                <w:sz w:val="24"/>
                <w:szCs w:val="24"/>
              </w:rPr>
            </w:pPr>
            <w:r>
              <w:rPr>
                <w:rFonts w:hint="eastAsia" w:ascii="宋体" w:hAnsi="宋体"/>
                <w:sz w:val="24"/>
                <w:szCs w:val="24"/>
              </w:rPr>
              <w:t>投标人技术部分的实际得分少于招标文件设定的技术部分总分50%的，其投标无效。</w:t>
            </w:r>
          </w:p>
        </w:tc>
      </w:tr>
    </w:tbl>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商务符合性：</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noWrap w:val="0"/>
            <w:vAlign w:val="center"/>
          </w:tcPr>
          <w:p>
            <w:pPr>
              <w:spacing w:line="360" w:lineRule="auto"/>
              <w:jc w:val="center"/>
              <w:rPr>
                <w:rFonts w:ascii="宋体" w:hAnsi="宋体"/>
                <w:sz w:val="24"/>
                <w:szCs w:val="24"/>
              </w:rPr>
            </w:pPr>
            <w:r>
              <w:rPr>
                <w:rFonts w:ascii="宋体" w:hAnsi="宋体"/>
                <w:sz w:val="24"/>
                <w:szCs w:val="24"/>
              </w:rPr>
              <w:t>情形</w:t>
            </w:r>
          </w:p>
        </w:tc>
        <w:tc>
          <w:tcPr>
            <w:tcW w:w="7451" w:type="dxa"/>
            <w:noWrap w:val="0"/>
            <w:vAlign w:val="center"/>
          </w:tcPr>
          <w:p>
            <w:pPr>
              <w:spacing w:line="360" w:lineRule="auto"/>
              <w:jc w:val="center"/>
              <w:rPr>
                <w:rFonts w:ascii="宋体" w:hAnsi="宋体"/>
                <w:sz w:val="24"/>
                <w:szCs w:val="24"/>
              </w:rPr>
            </w:pPr>
            <w:r>
              <w:rPr>
                <w:rFonts w:ascii="宋体" w:hAnsi="宋体"/>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noWrap w:val="0"/>
            <w:vAlign w:val="center"/>
          </w:tcPr>
          <w:p>
            <w:pPr>
              <w:spacing w:line="360" w:lineRule="auto"/>
              <w:jc w:val="center"/>
              <w:rPr>
                <w:rFonts w:ascii="宋体" w:hAnsi="宋体"/>
                <w:sz w:val="24"/>
                <w:szCs w:val="24"/>
              </w:rPr>
            </w:pPr>
            <w:r>
              <w:rPr>
                <w:rFonts w:ascii="宋体" w:hAnsi="宋体"/>
                <w:sz w:val="24"/>
                <w:szCs w:val="24"/>
              </w:rPr>
              <w:t>其他情形</w:t>
            </w:r>
          </w:p>
        </w:tc>
        <w:tc>
          <w:tcPr>
            <w:tcW w:w="7451" w:type="dxa"/>
            <w:noWrap w:val="0"/>
            <w:vAlign w:val="center"/>
          </w:tcPr>
          <w:p>
            <w:pPr>
              <w:spacing w:line="360" w:lineRule="auto"/>
              <w:jc w:val="center"/>
              <w:rPr>
                <w:rFonts w:ascii="宋体" w:hAnsi="宋体"/>
                <w:sz w:val="24"/>
                <w:szCs w:val="24"/>
              </w:rPr>
            </w:pPr>
            <w:r>
              <w:rPr>
                <w:rFonts w:hint="eastAsia" w:ascii="宋体" w:hAnsi="宋体"/>
                <w:sz w:val="24"/>
                <w:szCs w:val="24"/>
              </w:rPr>
              <w:t>无</w:t>
            </w:r>
          </w:p>
        </w:tc>
      </w:tr>
    </w:tbl>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附加符合性：</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noWrap w:val="0"/>
            <w:vAlign w:val="center"/>
          </w:tcPr>
          <w:p>
            <w:pPr>
              <w:spacing w:line="360" w:lineRule="auto"/>
              <w:jc w:val="center"/>
              <w:rPr>
                <w:rFonts w:ascii="宋体" w:hAnsi="宋体"/>
                <w:sz w:val="24"/>
                <w:szCs w:val="24"/>
              </w:rPr>
            </w:pPr>
            <w:r>
              <w:rPr>
                <w:rFonts w:ascii="宋体" w:hAnsi="宋体"/>
                <w:sz w:val="24"/>
                <w:szCs w:val="24"/>
              </w:rPr>
              <w:t>情形</w:t>
            </w:r>
          </w:p>
        </w:tc>
        <w:tc>
          <w:tcPr>
            <w:tcW w:w="7451" w:type="dxa"/>
            <w:noWrap w:val="0"/>
            <w:vAlign w:val="center"/>
          </w:tcPr>
          <w:p>
            <w:pPr>
              <w:spacing w:line="360" w:lineRule="auto"/>
              <w:jc w:val="center"/>
              <w:rPr>
                <w:rFonts w:ascii="宋体" w:hAnsi="宋体"/>
                <w:sz w:val="24"/>
                <w:szCs w:val="24"/>
              </w:rPr>
            </w:pPr>
            <w:r>
              <w:rPr>
                <w:rFonts w:ascii="宋体" w:hAnsi="宋体"/>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noWrap w:val="0"/>
            <w:vAlign w:val="center"/>
          </w:tcPr>
          <w:p>
            <w:pPr>
              <w:spacing w:line="360" w:lineRule="auto"/>
              <w:jc w:val="center"/>
              <w:rPr>
                <w:rFonts w:ascii="宋体" w:hAnsi="宋体"/>
                <w:sz w:val="24"/>
                <w:szCs w:val="24"/>
              </w:rPr>
            </w:pPr>
            <w:r>
              <w:rPr>
                <w:rFonts w:ascii="宋体" w:hAnsi="宋体"/>
                <w:sz w:val="24"/>
                <w:szCs w:val="24"/>
              </w:rPr>
              <w:t>其他情形</w:t>
            </w:r>
          </w:p>
        </w:tc>
        <w:tc>
          <w:tcPr>
            <w:tcW w:w="7451" w:type="dxa"/>
            <w:noWrap w:val="0"/>
            <w:vAlign w:val="center"/>
          </w:tcPr>
          <w:p>
            <w:pPr>
              <w:spacing w:line="360" w:lineRule="auto"/>
              <w:jc w:val="center"/>
              <w:rPr>
                <w:rFonts w:ascii="宋体" w:hAnsi="宋体"/>
                <w:sz w:val="24"/>
                <w:szCs w:val="24"/>
              </w:rPr>
            </w:pPr>
            <w:r>
              <w:rPr>
                <w:rFonts w:hint="eastAsia" w:ascii="宋体" w:hAnsi="宋体"/>
                <w:sz w:val="24"/>
                <w:szCs w:val="24"/>
              </w:rPr>
              <w:t>无</w:t>
            </w:r>
          </w:p>
        </w:tc>
      </w:tr>
    </w:tbl>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价格符合性</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2"/>
        <w:gridCol w:w="74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noWrap w:val="0"/>
            <w:vAlign w:val="center"/>
          </w:tcPr>
          <w:p>
            <w:pPr>
              <w:spacing w:line="360" w:lineRule="auto"/>
              <w:jc w:val="center"/>
              <w:rPr>
                <w:rFonts w:ascii="宋体" w:hAnsi="宋体"/>
                <w:sz w:val="24"/>
                <w:szCs w:val="24"/>
              </w:rPr>
            </w:pPr>
            <w:r>
              <w:rPr>
                <w:rFonts w:ascii="宋体" w:hAnsi="宋体"/>
                <w:sz w:val="24"/>
                <w:szCs w:val="24"/>
              </w:rPr>
              <w:t>情形</w:t>
            </w:r>
          </w:p>
        </w:tc>
        <w:tc>
          <w:tcPr>
            <w:tcW w:w="7451" w:type="dxa"/>
            <w:noWrap w:val="0"/>
            <w:vAlign w:val="center"/>
          </w:tcPr>
          <w:p>
            <w:pPr>
              <w:spacing w:line="360" w:lineRule="auto"/>
              <w:jc w:val="center"/>
              <w:rPr>
                <w:rFonts w:ascii="宋体" w:hAnsi="宋体"/>
                <w:sz w:val="24"/>
                <w:szCs w:val="24"/>
              </w:rPr>
            </w:pPr>
            <w:r>
              <w:rPr>
                <w:rFonts w:ascii="宋体" w:hAnsi="宋体"/>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502" w:type="dxa"/>
            <w:noWrap w:val="0"/>
            <w:vAlign w:val="center"/>
          </w:tcPr>
          <w:p>
            <w:pPr>
              <w:spacing w:line="360" w:lineRule="auto"/>
              <w:jc w:val="center"/>
              <w:rPr>
                <w:rFonts w:ascii="宋体" w:hAnsi="宋体"/>
                <w:sz w:val="24"/>
                <w:szCs w:val="24"/>
              </w:rPr>
            </w:pPr>
            <w:r>
              <w:rPr>
                <w:rFonts w:ascii="宋体" w:hAnsi="宋体"/>
                <w:sz w:val="24"/>
                <w:szCs w:val="24"/>
              </w:rPr>
              <w:t>其他情形</w:t>
            </w:r>
          </w:p>
        </w:tc>
        <w:tc>
          <w:tcPr>
            <w:tcW w:w="7451" w:type="dxa"/>
            <w:noWrap w:val="0"/>
            <w:vAlign w:val="center"/>
          </w:tcPr>
          <w:p>
            <w:pPr>
              <w:spacing w:line="360" w:lineRule="auto"/>
              <w:jc w:val="center"/>
              <w:rPr>
                <w:rFonts w:ascii="宋体" w:hAnsi="宋体"/>
                <w:sz w:val="24"/>
                <w:szCs w:val="24"/>
              </w:rPr>
            </w:pPr>
            <w:r>
              <w:rPr>
                <w:rFonts w:hint="eastAsia" w:ascii="宋体" w:hAnsi="宋体"/>
                <w:sz w:val="24"/>
                <w:szCs w:val="24"/>
              </w:rPr>
              <w:t>无</w:t>
            </w:r>
          </w:p>
        </w:tc>
      </w:tr>
    </w:tbl>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6.3澄清有关问题</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（1）对通过符合性审查的电子投标文件中含义不明确、同类问题表述不一致或有明显文字和计算错误的内容，评标委员会将以书面形式要求投标人作出必要的澄清、说明或补正。</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（3）电子投标文件报价出现前后不一致的，除招标文件另有规定外，按照下列规定修正：</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①开标一览表内容与电子投标文件中相应内容不一致的，以开标一览表为准；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②大写金额和小写金额不一致的，以大写金额为准；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③单价金额小数点或百分比有明显错位的，以开标一览表的总价为准，并修改单价；</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④总价金额与按照单价汇总金额不一致的，以单价金额计算结果为准。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※同时出现两种以上不一致的，按照前款规定的顺序修正。修正后的报价应按照本章第6.3条第（1）、（2）款规定经投标人确认后产生约束力，投标人不确认的，其投标无效。</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（4）关于细微偏差</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②评标委员会将以书面形式要求存在细微偏差的投标人在评标委员会规定的时间内予以补正。若无法补正，则评标委员会将按照不利于投标人的内容进行认定。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（5）关于投标描述（即电子投标文件中描述的内容）</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①投标描述前后不一致且不涉及证明材料的：按照本章第6.3条第（1）、（2）款规定执行。</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②投标描述与证明材料不一致或多份证明材料之间不一致的：</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a.评标委员会将要求投标人进行书面澄清，并按照不利于投标人的内容进行评标。</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6.4比较与评价</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（1）按照本章第7条载明的评标方法和标准，对符合性审查合格的电子投标文件进行比较与评价。</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（2）关于相同品牌产品（政府采购服务类项目不适用本条款规定）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a.招标文件规定的方式：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b.招标文件未规定的，采取随机抽取方式确定，其他投标无效。</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a.招标文件规定的方式：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b.招标文件未规定的，采取随机抽取方式确定，其他同品牌投标人不作为中标候选人。</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③非单一产品采购项目，多家投标人提供的核心产品品牌相同的，按照本章第6.4条第（2）款第①、②规定处理。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（3）漏（缺）项</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①招标文件中要求列入报价的费用（含配置、功能），漏（缺）项的报价视为已经包括在投标总价中。</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②对多报项及赠送项的价格评标时不予核减，全部进入评标价评议。</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6.5推荐中标候选人：详见本章第7.2条规定。</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6.6编写评标报告</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（1）评标报告由评标委员会负责编写。</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（2）评标报告应包括下列内容：</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①招标公告刊登的媒体名称、开标日期和地点；</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②投标人名单和评标委员会成员名单；</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③评标方法和标准；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④开标记录和评标情况及说明，包括无效投标人名单及原因；</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⑤评标结果，包括中标候选人名单或确定的中标人；</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⑥其他需要说明的情况，包括但不限于：评标过程中投标人的澄清、说明或补正，评委更换等。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6.8评委对需要共同认定的事项存在争议的，应按照少数服从多数的原则进行认定。持不同意见的评委应在评标报告上签署不同意见及理由，否则视为同意评标报告。</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6.9在评标过程中发现投标人有下列情形之一的，评标委员会应认定其投标无效，并书面报告本项目监督管理部门：</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（1）恶意串通（包括但不限于招标文件第三章第9.7条规定情形）；</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（2）妨碍其他投标人的竞争行为；</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（3）损害采购人或其他投标人的合法权益。</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6.10评标过程中，有下列情形之一的，应予废标：</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（1）符合性审查合格的投标人不足三家的；</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（2）有关法律、法规和规章规定废标的情形。</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※若废标，则本次采购活动结束，</w:t>
      </w:r>
      <w:r>
        <w:rPr>
          <w:rFonts w:hint="eastAsia" w:ascii="宋体" w:hAnsi="宋体"/>
          <w:sz w:val="24"/>
          <w:szCs w:val="24"/>
          <w:lang w:eastAsia="zh-CN"/>
        </w:rPr>
        <w:t>厦门市公物投资管理有限公司</w:t>
      </w:r>
      <w:r>
        <w:rPr>
          <w:rFonts w:ascii="宋体" w:hAnsi="宋体"/>
          <w:sz w:val="24"/>
          <w:szCs w:val="24"/>
        </w:rPr>
        <w:t>将依法组织后续采购活动（包括但不限于：重新招标、采用其他方式采购等）。</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7、评标方法和标准</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7.1评标方法：</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采购包1：综合评分法</w:t>
      </w:r>
    </w:p>
    <w:p>
      <w:pPr>
        <w:pStyle w:val="55"/>
        <w:widowControl w:val="0"/>
        <w:spacing w:line="360" w:lineRule="auto"/>
        <w:ind w:firstLine="480" w:firstLineChars="200"/>
        <w:jc w:val="both"/>
        <w:rPr>
          <w:rFonts w:hint="default" w:ascii="宋体" w:hAnsi="宋体"/>
          <w:sz w:val="24"/>
          <w:szCs w:val="24"/>
        </w:rPr>
      </w:pPr>
      <w:r>
        <w:rPr>
          <w:rFonts w:ascii="宋体" w:hAnsi="宋体"/>
          <w:sz w:val="24"/>
          <w:szCs w:val="24"/>
        </w:rPr>
        <w:t>7.2评标标准</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采购包1：综合评分法</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（1）投标文件满足招标文件全部实质性要求，且按照评审因素的量化指标评审得分（即评标总得分）最高的投标人为中标候选人。</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各项评审因素的设置如下：</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价格项（F1×A1）满分为30.00分</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F1指价格项评审因素得分＝（评标基准价/投标报价）×100投标报价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价格扣除的规则如下：</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04"/>
        <w:gridCol w:w="1661"/>
        <w:gridCol w:w="94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noWrap w:val="0"/>
            <w:vAlign w:val="center"/>
          </w:tcPr>
          <w:p>
            <w:pPr>
              <w:spacing w:line="360" w:lineRule="auto"/>
              <w:jc w:val="center"/>
              <w:rPr>
                <w:rFonts w:ascii="宋体" w:hAnsi="宋体"/>
                <w:sz w:val="24"/>
                <w:szCs w:val="24"/>
              </w:rPr>
            </w:pPr>
            <w:r>
              <w:rPr>
                <w:rFonts w:ascii="宋体" w:hAnsi="宋体"/>
                <w:b/>
                <w:sz w:val="24"/>
                <w:szCs w:val="24"/>
              </w:rPr>
              <w:t>项目</w:t>
            </w:r>
          </w:p>
        </w:tc>
        <w:tc>
          <w:tcPr>
            <w:tcW w:w="1661" w:type="dxa"/>
            <w:noWrap w:val="0"/>
            <w:vAlign w:val="center"/>
          </w:tcPr>
          <w:p>
            <w:pPr>
              <w:spacing w:line="360" w:lineRule="auto"/>
              <w:jc w:val="center"/>
              <w:rPr>
                <w:rFonts w:ascii="宋体" w:hAnsi="宋体"/>
                <w:sz w:val="24"/>
                <w:szCs w:val="24"/>
              </w:rPr>
            </w:pPr>
            <w:r>
              <w:rPr>
                <w:rFonts w:ascii="宋体" w:hAnsi="宋体"/>
                <w:b/>
                <w:sz w:val="24"/>
                <w:szCs w:val="24"/>
              </w:rPr>
              <w:t>适用对象</w:t>
            </w:r>
          </w:p>
        </w:tc>
        <w:tc>
          <w:tcPr>
            <w:tcW w:w="942" w:type="dxa"/>
            <w:noWrap w:val="0"/>
            <w:vAlign w:val="center"/>
          </w:tcPr>
          <w:p>
            <w:pPr>
              <w:spacing w:line="360" w:lineRule="auto"/>
              <w:jc w:val="center"/>
              <w:rPr>
                <w:rFonts w:ascii="宋体" w:hAnsi="宋体"/>
                <w:sz w:val="24"/>
                <w:szCs w:val="24"/>
              </w:rPr>
            </w:pPr>
            <w:r>
              <w:rPr>
                <w:rFonts w:ascii="宋体" w:hAnsi="宋体"/>
                <w:b/>
                <w:sz w:val="24"/>
                <w:szCs w:val="24"/>
              </w:rPr>
              <w:t>比例</w:t>
            </w:r>
          </w:p>
        </w:tc>
        <w:tc>
          <w:tcPr>
            <w:tcW w:w="4153" w:type="dxa"/>
            <w:noWrap w:val="0"/>
            <w:vAlign w:val="center"/>
          </w:tcPr>
          <w:p>
            <w:pPr>
              <w:spacing w:line="360" w:lineRule="auto"/>
              <w:jc w:val="center"/>
              <w:rPr>
                <w:rFonts w:ascii="宋体" w:hAnsi="宋体"/>
                <w:sz w:val="24"/>
                <w:szCs w:val="24"/>
              </w:rPr>
            </w:pPr>
            <w:r>
              <w:rPr>
                <w:rFonts w:ascii="宋体" w:hAnsi="宋体"/>
                <w:b/>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204" w:type="dxa"/>
            <w:noWrap w:val="0"/>
            <w:vAlign w:val="center"/>
          </w:tcPr>
          <w:p>
            <w:pPr>
              <w:spacing w:line="360" w:lineRule="auto"/>
              <w:jc w:val="center"/>
              <w:rPr>
                <w:rFonts w:ascii="宋体" w:hAnsi="宋体"/>
                <w:sz w:val="24"/>
                <w:szCs w:val="24"/>
              </w:rPr>
            </w:pPr>
            <w:r>
              <w:rPr>
                <w:rFonts w:ascii="宋体" w:hAnsi="宋体"/>
                <w:sz w:val="24"/>
                <w:szCs w:val="24"/>
              </w:rPr>
              <w:t>小型、微型企业，监狱企业，残疾人福利性单位</w:t>
            </w:r>
          </w:p>
        </w:tc>
        <w:tc>
          <w:tcPr>
            <w:tcW w:w="1661" w:type="dxa"/>
            <w:noWrap w:val="0"/>
            <w:vAlign w:val="center"/>
          </w:tcPr>
          <w:p>
            <w:pPr>
              <w:spacing w:line="360" w:lineRule="auto"/>
              <w:jc w:val="center"/>
              <w:rPr>
                <w:rFonts w:ascii="宋体" w:hAnsi="宋体"/>
                <w:sz w:val="24"/>
                <w:szCs w:val="24"/>
              </w:rPr>
            </w:pPr>
            <w:r>
              <w:rPr>
                <w:rFonts w:hint="eastAsia" w:ascii="宋体" w:hAnsi="宋体"/>
                <w:sz w:val="24"/>
                <w:szCs w:val="24"/>
              </w:rPr>
              <w:t>投标人或者联合体均为小型、微型企业</w:t>
            </w:r>
          </w:p>
        </w:tc>
        <w:tc>
          <w:tcPr>
            <w:tcW w:w="942" w:type="dxa"/>
            <w:noWrap w:val="0"/>
            <w:vAlign w:val="center"/>
          </w:tcPr>
          <w:p>
            <w:pPr>
              <w:spacing w:line="360" w:lineRule="auto"/>
              <w:jc w:val="center"/>
              <w:rPr>
                <w:rFonts w:ascii="宋体" w:hAnsi="宋体"/>
                <w:sz w:val="24"/>
                <w:szCs w:val="24"/>
              </w:rPr>
            </w:pPr>
            <w:r>
              <w:rPr>
                <w:rFonts w:hint="eastAsia" w:ascii="宋体" w:hAnsi="宋体"/>
                <w:sz w:val="24"/>
                <w:szCs w:val="24"/>
              </w:rPr>
              <w:t>15%</w:t>
            </w:r>
          </w:p>
        </w:tc>
        <w:tc>
          <w:tcPr>
            <w:tcW w:w="4153" w:type="dxa"/>
            <w:noWrap w:val="0"/>
            <w:vAlign w:val="center"/>
          </w:tcPr>
          <w:p>
            <w:pPr>
              <w:spacing w:line="360" w:lineRule="auto"/>
              <w:jc w:val="center"/>
              <w:rPr>
                <w:rFonts w:ascii="宋体" w:hAnsi="宋体"/>
                <w:sz w:val="24"/>
                <w:szCs w:val="24"/>
              </w:rPr>
            </w:pPr>
            <w:r>
              <w:rPr>
                <w:rFonts w:ascii="宋体" w:hAnsi="宋体"/>
                <w:sz w:val="24"/>
                <w:szCs w:val="24"/>
              </w:rPr>
              <w:t>价格扣除</w:t>
            </w:r>
            <w:r>
              <w:rPr>
                <w:rFonts w:hint="eastAsia" w:ascii="宋体" w:hAnsi="宋体"/>
                <w:sz w:val="24"/>
                <w:szCs w:val="24"/>
              </w:rPr>
              <w:t>办法详见补充条款。</w:t>
            </w:r>
          </w:p>
        </w:tc>
      </w:tr>
    </w:tbl>
    <w:p>
      <w:pPr>
        <w:pStyle w:val="55"/>
        <w:widowControl w:val="0"/>
        <w:spacing w:line="360" w:lineRule="auto"/>
        <w:ind w:firstLine="480" w:firstLineChars="200"/>
        <w:rPr>
          <w:rFonts w:hint="default" w:ascii="宋体" w:hAnsi="宋体"/>
          <w:sz w:val="24"/>
          <w:szCs w:val="24"/>
        </w:rPr>
      </w:pPr>
      <w:r>
        <w:rPr>
          <w:rFonts w:ascii="宋体" w:hAnsi="宋体"/>
          <w:sz w:val="24"/>
          <w:szCs w:val="24"/>
        </w:rPr>
        <w:t>其他：无</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技术项（F2×A2）满分为55.00分</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5"/>
        <w:gridCol w:w="1105"/>
        <w:gridCol w:w="67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spacing w:line="360" w:lineRule="auto"/>
              <w:jc w:val="center"/>
              <w:rPr>
                <w:rFonts w:ascii="宋体" w:hAnsi="宋体"/>
                <w:sz w:val="24"/>
                <w:szCs w:val="24"/>
              </w:rPr>
            </w:pPr>
            <w:r>
              <w:rPr>
                <w:rFonts w:ascii="宋体" w:hAnsi="宋体"/>
                <w:sz w:val="24"/>
                <w:szCs w:val="24"/>
              </w:rPr>
              <w:t>项目</w:t>
            </w:r>
          </w:p>
        </w:tc>
        <w:tc>
          <w:tcPr>
            <w:tcW w:w="1105" w:type="dxa"/>
            <w:noWrap w:val="0"/>
            <w:vAlign w:val="center"/>
          </w:tcPr>
          <w:p>
            <w:pPr>
              <w:spacing w:line="360" w:lineRule="auto"/>
              <w:jc w:val="center"/>
              <w:rPr>
                <w:rFonts w:ascii="宋体" w:hAnsi="宋体"/>
                <w:sz w:val="24"/>
                <w:szCs w:val="24"/>
              </w:rPr>
            </w:pPr>
            <w:r>
              <w:rPr>
                <w:rFonts w:ascii="宋体" w:hAnsi="宋体"/>
                <w:sz w:val="24"/>
                <w:szCs w:val="24"/>
              </w:rPr>
              <w:t>分值</w:t>
            </w:r>
          </w:p>
        </w:tc>
        <w:tc>
          <w:tcPr>
            <w:tcW w:w="6743" w:type="dxa"/>
            <w:noWrap w:val="0"/>
            <w:vAlign w:val="center"/>
          </w:tcPr>
          <w:p>
            <w:pPr>
              <w:spacing w:line="360" w:lineRule="auto"/>
              <w:jc w:val="center"/>
              <w:rPr>
                <w:rFonts w:ascii="宋体" w:hAnsi="宋体"/>
                <w:sz w:val="24"/>
                <w:szCs w:val="24"/>
              </w:rPr>
            </w:pPr>
            <w:r>
              <w:rPr>
                <w:rFonts w:ascii="宋体" w:hAnsi="宋体"/>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2</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1.4</w:t>
            </w:r>
            <w:r>
              <w:rPr>
                <w:rFonts w:hint="eastAsia" w:ascii="宋体" w:hAnsi="宋体" w:eastAsia="宋体" w:cs="宋体"/>
                <w:b w:val="0"/>
                <w:bCs/>
                <w:color w:val="auto"/>
                <w:sz w:val="24"/>
                <w:szCs w:val="24"/>
                <w:highlight w:val="none"/>
              </w:rPr>
              <w:t xml:space="preserve"> ▲无焦点，全域聚焦”的得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2</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1.6</w:t>
            </w:r>
            <w:r>
              <w:rPr>
                <w:rFonts w:hint="eastAsia" w:ascii="宋体" w:hAnsi="宋体" w:eastAsia="宋体" w:cs="宋体"/>
                <w:b w:val="0"/>
                <w:bCs/>
                <w:color w:val="auto"/>
                <w:sz w:val="24"/>
                <w:szCs w:val="24"/>
                <w:highlight w:val="none"/>
              </w:rPr>
              <w:t>▲探头接口≥4个，无针式探头接口”的得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ind w:left="-105" w:leftChars="-50" w:right="-105" w:rightChars="-50"/>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3</w:t>
            </w:r>
          </w:p>
        </w:tc>
        <w:tc>
          <w:tcPr>
            <w:tcW w:w="6743" w:type="dxa"/>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投标人所投彩色多普勒超声诊断仪满足“2.1.22▲精细血流自动识别成像或逐微血流成像或微细血流成像”的得3分。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ind w:left="-105" w:leftChars="-50" w:right="-105" w:rightChars="-50"/>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3</w:t>
            </w:r>
          </w:p>
        </w:tc>
        <w:tc>
          <w:tcPr>
            <w:tcW w:w="6743" w:type="dxa"/>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2.1.26▲造影：要求①支持腹部探头、浅表探头；②支持低机械指数造影；③支持向后存储，≥5分钟电影；③支持向前存储；④双实时：实时显示组织图像和造影图像；⑤支持斑点噪声抑制”的得3分，否则不得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2</w:t>
            </w:r>
          </w:p>
        </w:tc>
        <w:tc>
          <w:tcPr>
            <w:tcW w:w="6743" w:type="dxa"/>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投标人所投彩色多普勒超声诊断仪满足“2.1.27▲支持应变式弹性成像”的得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3</w:t>
            </w:r>
          </w:p>
        </w:tc>
        <w:tc>
          <w:tcPr>
            <w:tcW w:w="6743" w:type="dxa"/>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投标人所投彩色多普勒超声诊断仪是否满足“2.1.28▲支持剪切波定量式弹性成像功能，可以显示二维剪切波弹性成像图”的得3分。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2</w:t>
            </w:r>
          </w:p>
        </w:tc>
        <w:tc>
          <w:tcPr>
            <w:tcW w:w="6743" w:type="dxa"/>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投标人所投彩色多普勒超声诊断仪满足“2.2.4▲支持血管内中膜自动测量”的得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3</w:t>
            </w:r>
          </w:p>
        </w:tc>
        <w:tc>
          <w:tcPr>
            <w:tcW w:w="6743" w:type="dxa"/>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投标人所投彩色多普勒超声诊断仪满足“2.6.1.5▲最大显示深度：≥40cm”的得3分。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3</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投标人所投彩色多普勒超声诊断仪满足“2.10.2▲测量取样框大小及位置可调，可显示剪切波传播的速度图(m/s)和组织的弹性图(kPa)”的得3分。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3</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投标人所投彩色多普勒超声诊断仪满足“2.10.4▲具备造影成像功能”的得3分。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2</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投标人所投彩色多普勒超声诊断仪满足“2.10.5▲具备人工智能自动测量及识别功能或产科自动测量”的得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2</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投标人所投彩色多普勒超声诊断仪满足“2.14▲具备一体化融合影像介入导航系统：一体化融合影像及介入导航功能，在主机上可以把CT/MR/PET CT/3DUS上获得的数据与实时超声图像融合。 数据可以通过PACS系统以DICOM 格式，也可以通过DVD或U盘输入到超声系统，对多种成像形式显示的病灶进行直接对比。并具备监视追踪定位功能，以达到对最佳穿刺角度的追踪定位来引导介入手术的完成。”的得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2</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投标人所投彩色多普勒超声诊断仪满足“2.15▲增益调节：TGC增益补偿≥8 段，LGC侧向增益补偿≥4 段，B/M 可独立调节。”的得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2</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投标人所投彩色多普勒超声诊断仪满足“2.16▲自适应核磁像素优化技术，改善边界显示，提高分辨率，减少伪像，支持所有成像探头，可分级调节≥5级。”的得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2</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投标人所投彩色多普勒超声诊断仪满足“2.17▲具备相交互两个平面同屏同时相实时成像技术</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①</w:t>
            </w:r>
            <w:r>
              <w:rPr>
                <w:rFonts w:hint="eastAsia" w:ascii="宋体" w:hAnsi="宋体" w:eastAsia="宋体" w:cs="宋体"/>
                <w:b w:val="0"/>
                <w:bCs/>
                <w:color w:val="auto"/>
                <w:sz w:val="24"/>
                <w:szCs w:val="24"/>
                <w:highlight w:val="none"/>
              </w:rPr>
              <w:t>支持矩阵探头</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②</w:t>
            </w:r>
            <w:r>
              <w:rPr>
                <w:rFonts w:hint="eastAsia" w:ascii="宋体" w:hAnsi="宋体" w:eastAsia="宋体" w:cs="宋体"/>
                <w:b w:val="0"/>
                <w:bCs/>
                <w:color w:val="auto"/>
                <w:sz w:val="24"/>
                <w:szCs w:val="24"/>
                <w:highlight w:val="none"/>
              </w:rPr>
              <w:t>移动轨迹球可以同屏显示任意夹角的两幅实时图像</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③</w:t>
            </w:r>
            <w:r>
              <w:rPr>
                <w:rFonts w:hint="eastAsia" w:ascii="宋体" w:hAnsi="宋体" w:eastAsia="宋体" w:cs="宋体"/>
                <w:b w:val="0"/>
                <w:bCs/>
                <w:color w:val="auto"/>
                <w:sz w:val="24"/>
                <w:szCs w:val="24"/>
                <w:highlight w:val="none"/>
              </w:rPr>
              <w:t>支持灰阶及彩色模式</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④</w:t>
            </w:r>
            <w:r>
              <w:rPr>
                <w:rFonts w:hint="eastAsia" w:ascii="宋体" w:hAnsi="宋体" w:eastAsia="宋体" w:cs="宋体"/>
                <w:b w:val="0"/>
                <w:bCs/>
                <w:color w:val="auto"/>
                <w:sz w:val="24"/>
                <w:szCs w:val="24"/>
                <w:highlight w:val="none"/>
              </w:rPr>
              <w:t>支持造影模式</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⑤</w:t>
            </w:r>
            <w:r>
              <w:rPr>
                <w:rFonts w:hint="eastAsia" w:ascii="宋体" w:hAnsi="宋体" w:eastAsia="宋体" w:cs="宋体"/>
                <w:b w:val="0"/>
                <w:bCs/>
                <w:color w:val="auto"/>
                <w:sz w:val="24"/>
                <w:szCs w:val="24"/>
                <w:highlight w:val="none"/>
              </w:rPr>
              <w:t>造影图像可分别进行定量分析并可进行整合</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⑥</w:t>
            </w:r>
            <w:r>
              <w:rPr>
                <w:rFonts w:hint="eastAsia" w:ascii="宋体" w:hAnsi="宋体" w:eastAsia="宋体" w:cs="宋体"/>
                <w:b w:val="0"/>
                <w:bCs/>
                <w:color w:val="auto"/>
                <w:sz w:val="24"/>
                <w:szCs w:val="24"/>
                <w:highlight w:val="none"/>
              </w:rPr>
              <w:t>造影图像均可进行微血管成像”的得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1</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投标人所投彩色多普勒超声诊断仪满足“2.18▲术者模式，可实时双屏显示，主屏幕与触摸屏实时同步显示扫描图像。”的得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2</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投标人所投彩色多普勒超声诊断仪满足“2.19▲高帧率造影成像，要求支持腹部探头、浅表探头；凸阵探头10cm深度，扫描角度45°，帧率可达30帧/秒及以上；线阵探头4cm深度，帧率可50帧/秒及以上。”的得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2</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2.20▲应变式弹性成像，具备组织硬度定量分析软件、压力曲线提示图标，直方图等分析工具，具备肿块周边组织与正常组织、肿块周边组织与肿块内组织弹性定量分析功能。”的得2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2</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投标人所投彩色多普勒超声诊断仪满足“2.21▲剪切波定量式弹性成像功能，可以动态显示二维剪切波弹性成像图，具备三种定量参数，包括剪切波速度，杨氏模量和剪切模量。”的得2分。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2</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投标人所投彩色多普勒超声诊断仪满足“2.22▲支持自动肝肾比测量，自动计算肝脏与肾皮层灰阶比值，一键识别肝肾组织。”的得2分。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1</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投标人所投彩色多普勒超声诊断仪满足“2.23▲支持小儿髋关节自动测量功能，可自动计算α角,β角，自动进行临床分型。”的得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2</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投标人所投彩色多普勒超声诊断仪满足“2.24▲手势感应探头技术，探头内置多点触控传感器，双击探头前端任何部位，即可激活探头进入扫查，无需在触摸屏上切换。”的得2分。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2</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投标人所投彩色多普勒超声诊断仪满足“2.25▲腹部剪切波有效检查深度≥14cm。剪切波测量取样框大小及位置可调，取样点数量无限制，可显示剪切波传播的速度图(m/s)和组织的弹性图(kPa)。”的得2分。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2</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2.26▲具备血管数字减影技术，有效减少大血管及微细血管结构的噪声，提供更为清晰的血管壁定义和组织边界检测。增强深部血管和小血管管壁、管腔、血管内膜等结构的显示能力，可用于周围血管、浅表组织及胎心检查等，并支持≥5级可调。”的得2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2</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投标人所投彩色多普勒超声诊断仪满足“2.27▲支持频谱实时优化、智能选取功能：冻结后可自动优化并自动选取最佳频谱，同时完成包络及频谱测量功能。”的得2分。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48"/>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color w:val="000000"/>
                <w:kern w:val="0"/>
                <w:sz w:val="24"/>
                <w:szCs w:val="24"/>
                <w:highlight w:val="none"/>
                <w:lang w:bidi="ar"/>
              </w:rPr>
            </w:pPr>
          </w:p>
        </w:tc>
        <w:tc>
          <w:tcPr>
            <w:tcW w:w="1105"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b w:val="0"/>
                <w:bCs/>
                <w:color w:val="auto"/>
                <w:sz w:val="24"/>
                <w:szCs w:val="24"/>
                <w:highlight w:val="none"/>
              </w:rPr>
              <w:t>1</w:t>
            </w:r>
          </w:p>
        </w:tc>
        <w:tc>
          <w:tcPr>
            <w:tcW w:w="6743"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所投彩色多普勒超声诊断仪满足“2.28▲超声造影成像技术：具备低机械指数和中等机械指数两种选择模式，具备爆破后再灌注显像技术，支持造影剂二次注射，有2个独立造影计时器。采用声诺维造影剂进行造影时，造影剂有效显示时间≥8分钟，造影功能支持相控阵、凸阵、线阵、腔内探头。”的得</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分。</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或医疗器械注册证（应可体现参数）佐证。</w:t>
            </w:r>
          </w:p>
        </w:tc>
      </w:tr>
    </w:tbl>
    <w:p>
      <w:pPr>
        <w:pStyle w:val="55"/>
        <w:widowControl w:val="0"/>
        <w:spacing w:line="360" w:lineRule="auto"/>
        <w:ind w:firstLine="480" w:firstLineChars="200"/>
        <w:rPr>
          <w:rFonts w:hint="default" w:ascii="宋体" w:hAnsi="宋体"/>
          <w:sz w:val="24"/>
          <w:szCs w:val="24"/>
        </w:rPr>
      </w:pPr>
      <w:r>
        <w:rPr>
          <w:rFonts w:ascii="宋体" w:hAnsi="宋体"/>
          <w:sz w:val="24"/>
          <w:szCs w:val="24"/>
        </w:rPr>
        <w:t>商务项（F3×A3）满分为15.00分</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5"/>
        <w:gridCol w:w="1105"/>
        <w:gridCol w:w="67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spacing w:line="360" w:lineRule="auto"/>
              <w:jc w:val="center"/>
              <w:rPr>
                <w:rFonts w:ascii="宋体" w:hAnsi="宋体"/>
                <w:sz w:val="24"/>
                <w:szCs w:val="24"/>
              </w:rPr>
            </w:pPr>
            <w:r>
              <w:rPr>
                <w:rFonts w:ascii="宋体" w:hAnsi="宋体"/>
                <w:sz w:val="24"/>
                <w:szCs w:val="24"/>
              </w:rPr>
              <w:t>项目</w:t>
            </w:r>
          </w:p>
        </w:tc>
        <w:tc>
          <w:tcPr>
            <w:tcW w:w="1105" w:type="dxa"/>
            <w:noWrap w:val="0"/>
            <w:vAlign w:val="center"/>
          </w:tcPr>
          <w:p>
            <w:pPr>
              <w:spacing w:line="360" w:lineRule="auto"/>
              <w:jc w:val="center"/>
              <w:rPr>
                <w:rFonts w:ascii="宋体" w:hAnsi="宋体"/>
                <w:sz w:val="24"/>
                <w:szCs w:val="24"/>
              </w:rPr>
            </w:pPr>
            <w:r>
              <w:rPr>
                <w:rFonts w:ascii="宋体" w:hAnsi="宋体"/>
                <w:sz w:val="24"/>
                <w:szCs w:val="24"/>
              </w:rPr>
              <w:t>分值</w:t>
            </w:r>
          </w:p>
        </w:tc>
        <w:tc>
          <w:tcPr>
            <w:tcW w:w="6743" w:type="dxa"/>
            <w:noWrap w:val="0"/>
            <w:vAlign w:val="center"/>
          </w:tcPr>
          <w:p>
            <w:pPr>
              <w:spacing w:line="360" w:lineRule="auto"/>
              <w:jc w:val="center"/>
              <w:rPr>
                <w:rFonts w:ascii="宋体" w:hAnsi="宋体"/>
                <w:sz w:val="24"/>
                <w:szCs w:val="24"/>
              </w:rPr>
            </w:pPr>
            <w:r>
              <w:rPr>
                <w:rFonts w:ascii="宋体" w:hAnsi="宋体"/>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57"/>
              <w:numPr>
                <w:ilvl w:val="0"/>
                <w:numId w:val="2"/>
              </w:numPr>
              <w:adjustRightInd w:val="0"/>
              <w:snapToGrid w:val="0"/>
              <w:spacing w:line="360" w:lineRule="auto"/>
              <w:ind w:left="0" w:firstLine="0"/>
              <w:jc w:val="center"/>
              <w:rPr>
                <w:rFonts w:ascii="宋体" w:hAnsi="宋体"/>
                <w:sz w:val="24"/>
                <w:szCs w:val="24"/>
              </w:rPr>
            </w:pPr>
          </w:p>
        </w:tc>
        <w:tc>
          <w:tcPr>
            <w:tcW w:w="1105"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rPr>
              <w:t>3</w:t>
            </w:r>
          </w:p>
        </w:tc>
        <w:tc>
          <w:tcPr>
            <w:tcW w:w="6743" w:type="dxa"/>
            <w:noWrap w:val="0"/>
            <w:vAlign w:val="center"/>
          </w:tcPr>
          <w:p>
            <w:pPr>
              <w:widowControl/>
              <w:spacing w:line="360" w:lineRule="auto"/>
              <w:jc w:val="left"/>
              <w:rPr>
                <w:rFonts w:hint="eastAsia" w:ascii="宋体" w:hAnsi="宋体" w:eastAsia="宋体" w:cs="宋体"/>
                <w:sz w:val="24"/>
                <w:szCs w:val="24"/>
              </w:rPr>
            </w:pPr>
            <w:r>
              <w:rPr>
                <w:rFonts w:hint="eastAsia" w:ascii="宋体" w:hAnsi="宋体" w:eastAsia="宋体" w:cs="宋体"/>
                <w:b w:val="0"/>
                <w:bCs/>
                <w:color w:val="auto"/>
                <w:sz w:val="24"/>
                <w:szCs w:val="24"/>
                <w:highlight w:val="none"/>
              </w:rPr>
              <w:t>根据投标人针对本项目制定的培训方案</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培训方案应至少包括①培训时间、地点；②培训的主要内容（至少包含日常操作、保养和维修）；③培训讲师的资历；④培训课时安排；⑤预期培训效果</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进行评价</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每满足1项得0.6分，满分3分。未提供或所提供的培训方案不合理的不得分。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57"/>
              <w:numPr>
                <w:ilvl w:val="0"/>
                <w:numId w:val="2"/>
              </w:numPr>
              <w:adjustRightInd w:val="0"/>
              <w:snapToGrid w:val="0"/>
              <w:spacing w:line="360" w:lineRule="auto"/>
              <w:ind w:left="0" w:firstLine="0"/>
              <w:jc w:val="center"/>
              <w:rPr>
                <w:rFonts w:ascii="宋体" w:hAnsi="宋体"/>
                <w:sz w:val="24"/>
                <w:szCs w:val="24"/>
              </w:rPr>
            </w:pPr>
          </w:p>
        </w:tc>
        <w:tc>
          <w:tcPr>
            <w:tcW w:w="1105"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rPr>
              <w:t>3</w:t>
            </w:r>
          </w:p>
        </w:tc>
        <w:tc>
          <w:tcPr>
            <w:tcW w:w="6743" w:type="dxa"/>
            <w:noWrap w:val="0"/>
            <w:vAlign w:val="center"/>
          </w:tcPr>
          <w:p>
            <w:pPr>
              <w:widowControl/>
              <w:spacing w:line="360" w:lineRule="auto"/>
              <w:jc w:val="left"/>
              <w:rPr>
                <w:rFonts w:hint="default" w:ascii="宋体" w:hAnsi="宋体" w:eastAsia="宋体" w:cs="宋体"/>
                <w:sz w:val="24"/>
                <w:szCs w:val="24"/>
                <w:lang w:val="en-US" w:eastAsia="zh-CN"/>
              </w:rPr>
            </w:pPr>
            <w:r>
              <w:rPr>
                <w:rFonts w:hint="eastAsia" w:ascii="宋体" w:hAnsi="宋体" w:eastAsia="宋体" w:cs="宋体"/>
                <w:b w:val="0"/>
                <w:bCs/>
                <w:color w:val="auto"/>
                <w:sz w:val="24"/>
                <w:szCs w:val="24"/>
                <w:highlight w:val="none"/>
              </w:rPr>
              <w:t>根据投标人承诺提供产品交付时间进行评价</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在满足招标文件要求（合同签订后</w:t>
            </w:r>
            <w:r>
              <w:rPr>
                <w:rFonts w:hint="eastAsia" w:ascii="宋体" w:hAnsi="宋体" w:eastAsia="宋体" w:cs="宋体"/>
                <w:b w:val="0"/>
                <w:bCs/>
                <w:color w:val="auto"/>
                <w:sz w:val="24"/>
                <w:szCs w:val="24"/>
                <w:highlight w:val="none"/>
                <w:lang w:val="en-US" w:eastAsia="zh-CN"/>
              </w:rPr>
              <w:t>45</w:t>
            </w:r>
            <w:r>
              <w:rPr>
                <w:rFonts w:hint="eastAsia" w:ascii="宋体" w:hAnsi="宋体" w:eastAsia="宋体" w:cs="宋体"/>
                <w:b w:val="0"/>
                <w:bCs/>
                <w:color w:val="auto"/>
                <w:sz w:val="24"/>
                <w:szCs w:val="24"/>
                <w:highlight w:val="none"/>
              </w:rPr>
              <w:t>天内）的基础上，每提前</w:t>
            </w:r>
            <w:r>
              <w:rPr>
                <w:rFonts w:hint="eastAsia" w:ascii="宋体" w:hAnsi="宋体" w:eastAsia="宋体" w:cs="宋体"/>
                <w:b w:val="0"/>
                <w:bCs/>
                <w:color w:val="auto"/>
                <w:sz w:val="24"/>
                <w:szCs w:val="24"/>
                <w:highlight w:val="none"/>
                <w:lang w:val="en-US" w:eastAsia="zh-CN"/>
              </w:rPr>
              <w:t>5</w:t>
            </w:r>
            <w:r>
              <w:rPr>
                <w:rFonts w:hint="eastAsia" w:ascii="宋体" w:hAnsi="宋体" w:eastAsia="宋体" w:cs="宋体"/>
                <w:b w:val="0"/>
                <w:bCs/>
                <w:color w:val="auto"/>
                <w:sz w:val="24"/>
                <w:szCs w:val="24"/>
                <w:highlight w:val="none"/>
              </w:rPr>
              <w:t>天得1分，满分3分。</w:t>
            </w:r>
            <w:r>
              <w:rPr>
                <w:rFonts w:hint="eastAsia" w:ascii="宋体" w:hAnsi="宋体" w:eastAsia="宋体" w:cs="宋体"/>
                <w:b w:val="0"/>
                <w:bCs/>
                <w:color w:val="auto"/>
                <w:sz w:val="24"/>
                <w:szCs w:val="24"/>
                <w:highlight w:val="none"/>
                <w:lang w:val="en-US" w:eastAsia="zh-CN"/>
              </w:rPr>
              <w:t>投标人须提供相应的书面承诺。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57"/>
              <w:numPr>
                <w:ilvl w:val="0"/>
                <w:numId w:val="2"/>
              </w:numPr>
              <w:adjustRightInd w:val="0"/>
              <w:snapToGrid w:val="0"/>
              <w:spacing w:line="360" w:lineRule="auto"/>
              <w:ind w:left="0" w:firstLine="0"/>
              <w:jc w:val="center"/>
              <w:rPr>
                <w:rFonts w:ascii="宋体" w:hAnsi="宋体"/>
                <w:sz w:val="24"/>
                <w:szCs w:val="24"/>
              </w:rPr>
            </w:pPr>
          </w:p>
        </w:tc>
        <w:tc>
          <w:tcPr>
            <w:tcW w:w="1105"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rPr>
              <w:t>3</w:t>
            </w:r>
          </w:p>
        </w:tc>
        <w:tc>
          <w:tcPr>
            <w:tcW w:w="6743" w:type="dxa"/>
            <w:noWrap w:val="0"/>
            <w:vAlign w:val="center"/>
          </w:tcPr>
          <w:p>
            <w:pPr>
              <w:widowControl/>
              <w:spacing w:line="360" w:lineRule="auto"/>
              <w:jc w:val="left"/>
              <w:rPr>
                <w:rFonts w:hint="eastAsia" w:ascii="宋体" w:hAnsi="宋体" w:eastAsia="宋体" w:cs="宋体"/>
                <w:sz w:val="24"/>
                <w:szCs w:val="24"/>
              </w:rPr>
            </w:pPr>
            <w:r>
              <w:rPr>
                <w:rFonts w:hint="eastAsia" w:ascii="宋体" w:hAnsi="宋体" w:eastAsia="宋体" w:cs="宋体"/>
                <w:b w:val="0"/>
                <w:bCs/>
                <w:color w:val="auto"/>
                <w:sz w:val="24"/>
                <w:szCs w:val="24"/>
                <w:highlight w:val="none"/>
              </w:rPr>
              <w:t>根据投标人承诺的质保期</w:t>
            </w:r>
            <w:r>
              <w:rPr>
                <w:rFonts w:hint="eastAsia" w:ascii="宋体" w:hAnsi="宋体" w:eastAsia="宋体" w:cs="宋体"/>
                <w:b w:val="0"/>
                <w:bCs/>
                <w:color w:val="auto"/>
                <w:sz w:val="24"/>
                <w:szCs w:val="24"/>
                <w:highlight w:val="none"/>
                <w:lang w:val="en-US" w:eastAsia="zh-CN"/>
              </w:rPr>
              <w:t>进行评价：</w:t>
            </w:r>
            <w:r>
              <w:rPr>
                <w:rFonts w:hint="eastAsia" w:ascii="宋体" w:hAnsi="宋体" w:eastAsia="宋体" w:cs="宋体"/>
                <w:b w:val="0"/>
                <w:bCs/>
                <w:color w:val="auto"/>
                <w:sz w:val="24"/>
                <w:szCs w:val="24"/>
                <w:highlight w:val="none"/>
              </w:rPr>
              <w:t>在满足招标文件要求（不少于</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年）的基础上，每增加</w:t>
            </w:r>
            <w:r>
              <w:rPr>
                <w:rFonts w:hint="eastAsia" w:ascii="宋体" w:hAnsi="宋体" w:eastAsia="宋体" w:cs="宋体"/>
                <w:b w:val="0"/>
                <w:bCs/>
                <w:color w:val="auto"/>
                <w:sz w:val="24"/>
                <w:szCs w:val="24"/>
                <w:highlight w:val="none"/>
                <w:lang w:val="en-US" w:eastAsia="zh-CN"/>
              </w:rPr>
              <w:t>6个月</w:t>
            </w:r>
            <w:r>
              <w:rPr>
                <w:rFonts w:hint="eastAsia" w:ascii="宋体" w:hAnsi="宋体" w:eastAsia="宋体" w:cs="宋体"/>
                <w:b w:val="0"/>
                <w:bCs/>
                <w:color w:val="auto"/>
                <w:sz w:val="24"/>
                <w:szCs w:val="24"/>
                <w:highlight w:val="none"/>
              </w:rPr>
              <w:t>加1分，满分3分，否则不得分。</w:t>
            </w:r>
            <w:r>
              <w:rPr>
                <w:rFonts w:hint="eastAsia" w:ascii="宋体" w:hAnsi="宋体" w:eastAsia="宋体" w:cs="宋体"/>
                <w:b w:val="0"/>
                <w:bCs/>
                <w:color w:val="auto"/>
                <w:sz w:val="24"/>
                <w:szCs w:val="24"/>
                <w:highlight w:val="none"/>
                <w:lang w:val="en-US" w:eastAsia="zh-CN"/>
              </w:rPr>
              <w:t>投标人须提供相应的书面承诺。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57"/>
              <w:numPr>
                <w:ilvl w:val="0"/>
                <w:numId w:val="2"/>
              </w:numPr>
              <w:adjustRightInd w:val="0"/>
              <w:snapToGrid w:val="0"/>
              <w:spacing w:line="360" w:lineRule="auto"/>
              <w:ind w:left="0" w:firstLine="0"/>
              <w:jc w:val="center"/>
              <w:rPr>
                <w:rFonts w:ascii="宋体" w:hAnsi="宋体"/>
                <w:sz w:val="24"/>
                <w:szCs w:val="24"/>
              </w:rPr>
            </w:pPr>
          </w:p>
        </w:tc>
        <w:tc>
          <w:tcPr>
            <w:tcW w:w="1105" w:type="dxa"/>
            <w:noWrap w:val="0"/>
            <w:vAlign w:val="center"/>
          </w:tcPr>
          <w:p>
            <w:pPr>
              <w:widowControl/>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rPr>
              <w:t>3</w:t>
            </w:r>
          </w:p>
        </w:tc>
        <w:tc>
          <w:tcPr>
            <w:tcW w:w="6743" w:type="dxa"/>
            <w:noWrap w:val="0"/>
            <w:vAlign w:val="center"/>
          </w:tcPr>
          <w:p>
            <w:pPr>
              <w:widowControl/>
              <w:spacing w:line="360" w:lineRule="auto"/>
              <w:jc w:val="left"/>
              <w:rPr>
                <w:rFonts w:hint="eastAsia" w:ascii="宋体" w:hAnsi="宋体" w:eastAsia="宋体" w:cs="宋体"/>
                <w:sz w:val="24"/>
                <w:szCs w:val="24"/>
              </w:rPr>
            </w:pPr>
            <w:r>
              <w:rPr>
                <w:rFonts w:hint="eastAsia" w:ascii="宋体" w:hAnsi="宋体" w:eastAsia="宋体" w:cs="宋体"/>
                <w:b w:val="0"/>
                <w:bCs/>
                <w:color w:val="auto"/>
                <w:sz w:val="24"/>
                <w:szCs w:val="24"/>
                <w:highlight w:val="none"/>
              </w:rPr>
              <w:t>投标人可提供厦门本地化服务的得3分，否则不得分。投标人可提供合作单位协议或者自身机构的营业执照证明，也可以提供在本地设立的项目部、办公室、办事处等机构证明，或者承诺中标后提供本地化服务。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05" w:type="dxa"/>
            <w:noWrap w:val="0"/>
            <w:vAlign w:val="center"/>
          </w:tcPr>
          <w:p>
            <w:pPr>
              <w:pStyle w:val="57"/>
              <w:numPr>
                <w:ilvl w:val="0"/>
                <w:numId w:val="2"/>
              </w:numPr>
              <w:adjustRightInd w:val="0"/>
              <w:snapToGrid w:val="0"/>
              <w:spacing w:line="360" w:lineRule="auto"/>
              <w:ind w:left="0" w:firstLine="0"/>
              <w:jc w:val="center"/>
              <w:rPr>
                <w:rFonts w:ascii="宋体" w:hAnsi="宋体"/>
                <w:sz w:val="24"/>
                <w:szCs w:val="24"/>
              </w:rPr>
            </w:pPr>
          </w:p>
        </w:tc>
        <w:tc>
          <w:tcPr>
            <w:tcW w:w="1105" w:type="dxa"/>
            <w:noWrap w:val="0"/>
            <w:vAlign w:val="center"/>
          </w:tcPr>
          <w:p>
            <w:pPr>
              <w:pStyle w:val="59"/>
              <w:autoSpaceDE w:val="0"/>
              <w:spacing w:line="360" w:lineRule="auto"/>
              <w:jc w:val="center"/>
              <w:rPr>
                <w:rFonts w:hint="eastAsia" w:ascii="宋体" w:hAnsi="宋体" w:eastAsia="宋体" w:cs="宋体"/>
                <w:sz w:val="24"/>
                <w:szCs w:val="24"/>
              </w:rPr>
            </w:pPr>
            <w:r>
              <w:rPr>
                <w:rFonts w:hint="eastAsia" w:ascii="宋体" w:hAnsi="宋体" w:eastAsia="宋体" w:cs="宋体"/>
                <w:color w:val="auto"/>
                <w:sz w:val="24"/>
                <w:szCs w:val="24"/>
                <w:highlight w:val="none"/>
              </w:rPr>
              <w:t>3</w:t>
            </w:r>
          </w:p>
        </w:tc>
        <w:tc>
          <w:tcPr>
            <w:tcW w:w="6743" w:type="dxa"/>
            <w:noWrap w:val="0"/>
            <w:vAlign w:val="center"/>
          </w:tcPr>
          <w:p>
            <w:pPr>
              <w:spacing w:line="460" w:lineRule="exac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根据投标人2020年1月1日</w:t>
            </w:r>
            <w:r>
              <w:rPr>
                <w:rFonts w:hint="eastAsia" w:ascii="宋体" w:hAnsi="宋体" w:eastAsia="宋体" w:cs="宋体"/>
                <w:b w:val="0"/>
                <w:bCs/>
                <w:color w:val="auto"/>
                <w:kern w:val="0"/>
                <w:sz w:val="24"/>
                <w:szCs w:val="24"/>
                <w:highlight w:val="none"/>
                <w:lang w:val="en-US" w:eastAsia="zh-CN"/>
              </w:rPr>
              <w:t>以来</w:t>
            </w:r>
            <w:r>
              <w:rPr>
                <w:rFonts w:hint="eastAsia" w:ascii="宋体" w:hAnsi="宋体" w:eastAsia="宋体" w:cs="宋体"/>
                <w:b w:val="0"/>
                <w:bCs/>
                <w:color w:val="auto"/>
                <w:kern w:val="0"/>
                <w:sz w:val="24"/>
                <w:szCs w:val="24"/>
                <w:highlight w:val="none"/>
              </w:rPr>
              <w:t>（以合同签订时间为准）</w:t>
            </w:r>
            <w:r>
              <w:rPr>
                <w:rFonts w:hint="eastAsia" w:ascii="宋体" w:hAnsi="宋体" w:eastAsia="宋体" w:cs="宋体"/>
                <w:b w:val="0"/>
                <w:bCs/>
                <w:color w:val="auto"/>
                <w:kern w:val="0"/>
                <w:sz w:val="24"/>
                <w:szCs w:val="24"/>
                <w:highlight w:val="none"/>
                <w:lang w:eastAsia="zh-CN"/>
              </w:rPr>
              <w:t>，</w:t>
            </w:r>
            <w:r>
              <w:rPr>
                <w:rFonts w:hint="eastAsia" w:ascii="宋体" w:hAnsi="宋体" w:eastAsia="宋体" w:cs="宋体"/>
                <w:b w:val="0"/>
                <w:bCs/>
                <w:color w:val="auto"/>
                <w:kern w:val="0"/>
                <w:sz w:val="24"/>
                <w:szCs w:val="24"/>
                <w:highlight w:val="none"/>
                <w:lang w:val="en-US" w:eastAsia="zh-CN"/>
              </w:rPr>
              <w:t>独立承接过</w:t>
            </w:r>
            <w:r>
              <w:rPr>
                <w:rFonts w:hint="eastAsia" w:ascii="宋体" w:hAnsi="宋体" w:eastAsia="宋体" w:cs="宋体"/>
                <w:b w:val="0"/>
                <w:bCs/>
                <w:color w:val="auto"/>
                <w:kern w:val="0"/>
                <w:sz w:val="24"/>
                <w:szCs w:val="24"/>
                <w:highlight w:val="none"/>
              </w:rPr>
              <w:t>的类似项目业绩的有效证明文件进行评价，每</w:t>
            </w:r>
            <w:r>
              <w:rPr>
                <w:rFonts w:hint="eastAsia" w:ascii="宋体" w:hAnsi="宋体" w:eastAsia="宋体" w:cs="宋体"/>
                <w:b w:val="0"/>
                <w:bCs/>
                <w:color w:val="auto"/>
                <w:kern w:val="0"/>
                <w:sz w:val="24"/>
                <w:szCs w:val="24"/>
                <w:highlight w:val="none"/>
                <w:lang w:val="en-US" w:eastAsia="zh-CN"/>
              </w:rPr>
              <w:t>提供1</w:t>
            </w:r>
            <w:r>
              <w:rPr>
                <w:rFonts w:hint="eastAsia" w:ascii="宋体" w:hAnsi="宋体" w:eastAsia="宋体" w:cs="宋体"/>
                <w:b w:val="0"/>
                <w:bCs/>
                <w:color w:val="auto"/>
                <w:kern w:val="0"/>
                <w:sz w:val="24"/>
                <w:szCs w:val="24"/>
                <w:highlight w:val="none"/>
              </w:rPr>
              <w:t>个有效业绩</w:t>
            </w:r>
            <w:r>
              <w:rPr>
                <w:rFonts w:hint="eastAsia" w:ascii="宋体" w:hAnsi="宋体" w:eastAsia="宋体" w:cs="宋体"/>
                <w:b w:val="0"/>
                <w:bCs/>
                <w:color w:val="auto"/>
                <w:kern w:val="0"/>
                <w:sz w:val="24"/>
                <w:szCs w:val="24"/>
                <w:highlight w:val="none"/>
                <w:lang w:val="en-US" w:eastAsia="zh-CN"/>
              </w:rPr>
              <w:t>的</w:t>
            </w:r>
            <w:r>
              <w:rPr>
                <w:rFonts w:hint="eastAsia" w:ascii="宋体" w:hAnsi="宋体" w:eastAsia="宋体" w:cs="宋体"/>
                <w:b w:val="0"/>
                <w:bCs/>
                <w:color w:val="auto"/>
                <w:kern w:val="0"/>
                <w:sz w:val="24"/>
                <w:szCs w:val="24"/>
                <w:highlight w:val="none"/>
              </w:rPr>
              <w:t>得1分，满分3分。</w:t>
            </w:r>
          </w:p>
          <w:p>
            <w:pPr>
              <w:spacing w:line="460" w:lineRule="exact"/>
              <w:rPr>
                <w:rFonts w:ascii="宋体" w:hAnsi="宋体" w:cs="宋体"/>
                <w:sz w:val="24"/>
              </w:rPr>
            </w:pPr>
            <w:r>
              <w:rPr>
                <w:rFonts w:hint="eastAsia" w:ascii="宋体" w:hAnsi="宋体" w:cs="宋体"/>
                <w:sz w:val="24"/>
              </w:rPr>
              <w:t>注：（1）类似业绩是指：</w:t>
            </w:r>
            <w:r>
              <w:rPr>
                <w:rFonts w:hint="eastAsia" w:ascii="宋体" w:hAnsi="宋体" w:eastAsia="宋体" w:cs="宋体"/>
                <w:b w:val="0"/>
                <w:bCs/>
                <w:color w:val="auto"/>
                <w:sz w:val="24"/>
                <w:szCs w:val="24"/>
                <w:highlight w:val="none"/>
              </w:rPr>
              <w:t>彩色多普勒超声诊断仪</w:t>
            </w:r>
            <w:r>
              <w:rPr>
                <w:rFonts w:hint="eastAsia" w:ascii="宋体" w:hAnsi="宋体" w:cs="宋体"/>
                <w:sz w:val="24"/>
              </w:rPr>
              <w:t>。</w:t>
            </w:r>
          </w:p>
          <w:p>
            <w:pPr>
              <w:spacing w:line="460" w:lineRule="exact"/>
              <w:rPr>
                <w:rFonts w:ascii="宋体" w:hAnsi="宋体" w:cs="宋体"/>
                <w:sz w:val="24"/>
              </w:rPr>
            </w:pPr>
            <w:r>
              <w:rPr>
                <w:rFonts w:hint="eastAsia" w:ascii="宋体" w:hAnsi="宋体" w:cs="宋体"/>
                <w:sz w:val="24"/>
              </w:rPr>
              <w:t>（2）需提供业绩的以下四项证明材料，否则不予计分：</w:t>
            </w:r>
          </w:p>
          <w:p>
            <w:pPr>
              <w:spacing w:line="460" w:lineRule="exac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①中标（成交）公告（提供相关网站中标（成交）公告的下载网页及其网址）；</w:t>
            </w:r>
          </w:p>
          <w:p>
            <w:pPr>
              <w:spacing w:line="460" w:lineRule="exac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②中标（成交）通知书复印件；</w:t>
            </w:r>
          </w:p>
          <w:p>
            <w:pPr>
              <w:spacing w:line="460" w:lineRule="exact"/>
              <w:rPr>
                <w:rFonts w:hint="eastAsia" w:ascii="宋体" w:hAnsi="宋体" w:eastAsia="宋体" w:cs="宋体"/>
                <w:b w:val="0"/>
                <w:bCs/>
                <w:color w:val="auto"/>
                <w:kern w:val="0"/>
                <w:sz w:val="24"/>
                <w:szCs w:val="24"/>
                <w:highlight w:val="none"/>
              </w:rPr>
            </w:pPr>
            <w:r>
              <w:rPr>
                <w:rFonts w:hint="eastAsia" w:ascii="宋体" w:hAnsi="宋体" w:eastAsia="宋体" w:cs="宋体"/>
                <w:b w:val="0"/>
                <w:bCs/>
                <w:color w:val="auto"/>
                <w:kern w:val="0"/>
                <w:sz w:val="24"/>
                <w:szCs w:val="24"/>
                <w:highlight w:val="none"/>
              </w:rPr>
              <w:t>③采购合同文本复印件；</w:t>
            </w:r>
          </w:p>
          <w:p>
            <w:pPr>
              <w:widowControl/>
              <w:spacing w:line="460" w:lineRule="exact"/>
              <w:jc w:val="left"/>
              <w:rPr>
                <w:rFonts w:hint="eastAsia" w:ascii="宋体" w:hAnsi="宋体" w:eastAsia="宋体" w:cs="宋体"/>
                <w:b/>
                <w:sz w:val="24"/>
                <w:szCs w:val="24"/>
              </w:rPr>
            </w:pPr>
            <w:r>
              <w:rPr>
                <w:rFonts w:hint="eastAsia" w:ascii="宋体" w:hAnsi="宋体" w:eastAsia="宋体" w:cs="宋体"/>
                <w:b w:val="0"/>
                <w:bCs/>
                <w:color w:val="auto"/>
                <w:kern w:val="0"/>
                <w:sz w:val="24"/>
                <w:szCs w:val="24"/>
                <w:highlight w:val="none"/>
              </w:rPr>
              <w:t>④能够证明该业绩项目已经采购人验收合格的相关证明文件复印件。</w:t>
            </w:r>
          </w:p>
        </w:tc>
      </w:tr>
    </w:tbl>
    <w:p>
      <w:pPr>
        <w:pStyle w:val="55"/>
        <w:widowControl w:val="0"/>
        <w:spacing w:line="360" w:lineRule="auto"/>
        <w:ind w:firstLine="480" w:firstLineChars="200"/>
        <w:rPr>
          <w:rFonts w:hint="default" w:ascii="宋体" w:hAnsi="宋体"/>
          <w:sz w:val="24"/>
          <w:szCs w:val="24"/>
        </w:rPr>
      </w:pPr>
      <w:r>
        <w:rPr>
          <w:rFonts w:ascii="宋体" w:hAnsi="宋体"/>
          <w:sz w:val="24"/>
          <w:szCs w:val="24"/>
        </w:rPr>
        <w:t>加分项（F4×A4）</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优先类节能产品、环境标志产品：</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1"/>
        <w:gridCol w:w="1134"/>
        <w:gridCol w:w="571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61" w:type="dxa"/>
            <w:noWrap w:val="0"/>
            <w:vAlign w:val="center"/>
          </w:tcPr>
          <w:p>
            <w:pPr>
              <w:pStyle w:val="55"/>
              <w:spacing w:line="360" w:lineRule="auto"/>
              <w:jc w:val="center"/>
              <w:rPr>
                <w:rFonts w:hint="default" w:ascii="宋体" w:hAnsi="宋体"/>
                <w:sz w:val="24"/>
                <w:szCs w:val="24"/>
              </w:rPr>
            </w:pPr>
            <w:r>
              <w:rPr>
                <w:rFonts w:ascii="宋体" w:hAnsi="宋体"/>
                <w:b/>
                <w:sz w:val="24"/>
                <w:szCs w:val="24"/>
              </w:rPr>
              <w:t>项目</w:t>
            </w:r>
          </w:p>
        </w:tc>
        <w:tc>
          <w:tcPr>
            <w:tcW w:w="1134" w:type="dxa"/>
            <w:noWrap w:val="0"/>
            <w:vAlign w:val="center"/>
          </w:tcPr>
          <w:p>
            <w:pPr>
              <w:pStyle w:val="55"/>
              <w:spacing w:line="360" w:lineRule="auto"/>
              <w:jc w:val="center"/>
              <w:rPr>
                <w:rFonts w:hint="default" w:ascii="宋体" w:hAnsi="宋体"/>
                <w:sz w:val="24"/>
                <w:szCs w:val="24"/>
              </w:rPr>
            </w:pPr>
            <w:r>
              <w:rPr>
                <w:rFonts w:ascii="宋体" w:hAnsi="宋体"/>
                <w:b/>
                <w:sz w:val="24"/>
                <w:szCs w:val="24"/>
              </w:rPr>
              <w:t>分值</w:t>
            </w:r>
          </w:p>
        </w:tc>
        <w:tc>
          <w:tcPr>
            <w:tcW w:w="5711" w:type="dxa"/>
            <w:noWrap w:val="0"/>
            <w:vAlign w:val="center"/>
          </w:tcPr>
          <w:p>
            <w:pPr>
              <w:pStyle w:val="55"/>
              <w:spacing w:line="360" w:lineRule="auto"/>
              <w:jc w:val="center"/>
              <w:rPr>
                <w:rFonts w:hint="default" w:ascii="宋体" w:hAnsi="宋体"/>
                <w:sz w:val="24"/>
                <w:szCs w:val="24"/>
              </w:rPr>
            </w:pPr>
            <w:r>
              <w:rPr>
                <w:rFonts w:ascii="宋体" w:hAnsi="宋体"/>
                <w:b/>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61" w:type="dxa"/>
            <w:noWrap w:val="0"/>
            <w:vAlign w:val="center"/>
          </w:tcPr>
          <w:p>
            <w:pPr>
              <w:pStyle w:val="55"/>
              <w:spacing w:line="360" w:lineRule="auto"/>
              <w:jc w:val="center"/>
              <w:rPr>
                <w:rFonts w:hint="default" w:ascii="宋体" w:hAnsi="宋体"/>
                <w:sz w:val="24"/>
                <w:szCs w:val="24"/>
              </w:rPr>
            </w:pPr>
            <w:r>
              <w:rPr>
                <w:rFonts w:ascii="宋体" w:hAnsi="宋体"/>
                <w:sz w:val="24"/>
                <w:szCs w:val="24"/>
              </w:rPr>
              <w:t>节能、环境标志产品</w:t>
            </w:r>
          </w:p>
        </w:tc>
        <w:tc>
          <w:tcPr>
            <w:tcW w:w="1134" w:type="dxa"/>
            <w:noWrap w:val="0"/>
            <w:vAlign w:val="center"/>
          </w:tcPr>
          <w:p>
            <w:pPr>
              <w:pStyle w:val="55"/>
              <w:spacing w:line="360" w:lineRule="auto"/>
              <w:jc w:val="center"/>
              <w:rPr>
                <w:rFonts w:hint="default" w:ascii="宋体" w:hAnsi="宋体"/>
                <w:sz w:val="24"/>
                <w:szCs w:val="24"/>
              </w:rPr>
            </w:pPr>
            <w:r>
              <w:rPr>
                <w:rFonts w:hint="eastAsia" w:ascii="宋体" w:hAnsi="宋体"/>
                <w:sz w:val="24"/>
                <w:szCs w:val="24"/>
                <w:lang w:val="en-US" w:eastAsia="zh-CN"/>
              </w:rPr>
              <w:t>6.8</w:t>
            </w:r>
          </w:p>
        </w:tc>
        <w:tc>
          <w:tcPr>
            <w:tcW w:w="5711" w:type="dxa"/>
            <w:noWrap w:val="0"/>
            <w:vAlign w:val="center"/>
          </w:tcPr>
          <w:p>
            <w:pPr>
              <w:pStyle w:val="55"/>
              <w:spacing w:line="360" w:lineRule="auto"/>
              <w:rPr>
                <w:rFonts w:hint="default" w:ascii="宋体" w:hAnsi="宋体"/>
                <w:sz w:val="24"/>
                <w:szCs w:val="24"/>
              </w:rPr>
            </w:pPr>
            <w:r>
              <w:rPr>
                <w:rFonts w:ascii="宋体" w:hAnsi="宋体"/>
                <w:sz w:val="24"/>
                <w:szCs w:val="24"/>
              </w:rPr>
              <w:t>1、投标人所投节能产品属于《关于印发节能产品政府采购品目清单的通知》（财库〔2019〕19号）内的产品、所投环境标志产品属于《关于印发环境标志产品政府采购品目清单的通知》（财库〔2019〕18号）内的产品，方可享受加分。</w:t>
            </w:r>
          </w:p>
          <w:p>
            <w:pPr>
              <w:pStyle w:val="55"/>
              <w:spacing w:line="360" w:lineRule="auto"/>
              <w:rPr>
                <w:rFonts w:hint="default" w:ascii="宋体" w:hAnsi="宋体"/>
                <w:sz w:val="24"/>
                <w:szCs w:val="24"/>
              </w:rPr>
            </w:pPr>
            <w:r>
              <w:rPr>
                <w:rFonts w:ascii="宋体" w:hAnsi="宋体"/>
                <w:sz w:val="24"/>
                <w:szCs w:val="24"/>
              </w:rPr>
              <w:t>2、（1）若同一采购包内节能、环境标志产品报价总金额低于该采购包报价总金额20%（含20%），将分别给予节能、环境标志产品价格项（F1，按照满分计）和技术项（F2，按照满分计）4%的加分；</w:t>
            </w:r>
          </w:p>
          <w:p>
            <w:pPr>
              <w:pStyle w:val="55"/>
              <w:spacing w:line="360" w:lineRule="auto"/>
              <w:rPr>
                <w:rFonts w:hint="default" w:ascii="宋体" w:hAnsi="宋体"/>
                <w:sz w:val="24"/>
                <w:szCs w:val="24"/>
              </w:rPr>
            </w:pPr>
            <w:r>
              <w:rPr>
                <w:rFonts w:ascii="宋体" w:hAnsi="宋体"/>
                <w:sz w:val="24"/>
                <w:szCs w:val="24"/>
              </w:rPr>
              <w:t>（2）若同一采购包内节能、环境标志产品报价总金额占该采购包报价总金额20%-50%（含50%），将分别给予节能、环境标志产品价格项（F1，按照满分计）和技术项（F2，按照满分计）6%的加分；</w:t>
            </w:r>
          </w:p>
          <w:p>
            <w:pPr>
              <w:pStyle w:val="55"/>
              <w:spacing w:line="360" w:lineRule="auto"/>
              <w:rPr>
                <w:rFonts w:hint="default" w:ascii="宋体" w:hAnsi="宋体"/>
                <w:sz w:val="24"/>
                <w:szCs w:val="24"/>
              </w:rPr>
            </w:pPr>
            <w:r>
              <w:rPr>
                <w:rFonts w:ascii="宋体" w:hAnsi="宋体"/>
                <w:sz w:val="24"/>
                <w:szCs w:val="24"/>
              </w:rPr>
              <w:t>（3）若同一采购包内节能、环境标志产品报价总金额超过该采购包报价总金额50%，将分别给予节能、环境标志产品价格项（F1，按照满分计）和技术项（F2，按照满分计）8%的加分。</w:t>
            </w:r>
          </w:p>
          <w:p>
            <w:pPr>
              <w:pStyle w:val="55"/>
              <w:spacing w:line="360" w:lineRule="auto"/>
              <w:jc w:val="both"/>
              <w:rPr>
                <w:rFonts w:hint="default" w:ascii="宋体" w:hAnsi="宋体"/>
                <w:sz w:val="24"/>
                <w:szCs w:val="24"/>
              </w:rPr>
            </w:pPr>
            <w:r>
              <w:rPr>
                <w:rFonts w:ascii="宋体" w:hAnsi="宋体"/>
                <w:sz w:val="24"/>
                <w:szCs w:val="24"/>
              </w:rPr>
              <w:t>3、若节能、环境标志产品仅是构成投标产品的部件、组件或零件，则该投标产品不享受鼓励优惠政策。同一品目中各认证证书不重复计算加分。强制类节能产品不享受加分。</w:t>
            </w:r>
          </w:p>
        </w:tc>
      </w:tr>
    </w:tbl>
    <w:p>
      <w:pPr>
        <w:pStyle w:val="55"/>
        <w:widowControl w:val="0"/>
        <w:spacing w:line="360" w:lineRule="auto"/>
        <w:ind w:firstLine="480" w:firstLineChars="200"/>
        <w:rPr>
          <w:rFonts w:hint="default" w:ascii="宋体" w:hAnsi="宋体"/>
          <w:sz w:val="24"/>
          <w:szCs w:val="24"/>
        </w:rPr>
      </w:pPr>
      <w:r>
        <w:rPr>
          <w:rFonts w:ascii="宋体" w:hAnsi="宋体"/>
          <w:sz w:val="24"/>
          <w:szCs w:val="24"/>
        </w:rPr>
        <w:t>（4）中标候选人排列规则顺序如下：</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a.按照评标总得分（FA）由高到低顺序排列。</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b.评标总得分（FA）相同的，按照评标价（即价格扣除后的投标报价）由低到高顺序排列。</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c.评标总得分（FA）且评标价（即价格扣除后的投标报价）相同的并列。</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8、其他规定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8.1评标应全程保密且不得透露给任一投标人或与评标工作无关的人员。</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8.2评标将进行全程实时录音录像，录音录像资料随采购文件一并存档。</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8.3若投标人有任何试图干扰具体评标事务，影响评标委员会独立履行职责的行为，其投标无效且不予退还投标保证金。情节严重的，由财政部门列入不良行为记录。</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8.4其他：无</w:t>
      </w:r>
    </w:p>
    <w:p>
      <w:pPr>
        <w:sectPr>
          <w:pgSz w:w="11906" w:h="16838"/>
          <w:pgMar w:top="1418" w:right="1418" w:bottom="1418" w:left="1418" w:header="851" w:footer="992" w:gutter="0"/>
          <w:cols w:space="720" w:num="1"/>
          <w:docGrid w:type="lines" w:linePitch="312" w:charSpace="0"/>
        </w:sectPr>
      </w:pPr>
    </w:p>
    <w:p>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18" w:name="_Toc139103797"/>
      <w:r>
        <w:rPr>
          <w:rFonts w:ascii="黑体" w:hAnsi="黑体" w:eastAsia="黑体" w:cs="Times New Roman"/>
          <w:kern w:val="0"/>
          <w:sz w:val="32"/>
          <w:szCs w:val="44"/>
        </w:rPr>
        <w:t>第五章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招标内容及要求</w:t>
      </w:r>
      <w:bookmarkEnd w:id="18"/>
    </w:p>
    <w:p>
      <w:pPr>
        <w:pStyle w:val="3"/>
        <w:spacing w:beforeLines="100" w:afterLines="100" w:line="240" w:lineRule="auto"/>
        <w:jc w:val="left"/>
        <w:rPr>
          <w:rFonts w:ascii="黑体" w:hAnsi="黑体" w:eastAsia="黑体" w:cs="Times New Roman"/>
          <w:kern w:val="0"/>
          <w:sz w:val="30"/>
        </w:rPr>
      </w:pPr>
      <w:bookmarkStart w:id="19" w:name="_Toc139103798"/>
      <w:r>
        <w:rPr>
          <w:rFonts w:ascii="黑体" w:hAnsi="黑体" w:eastAsia="黑体" w:cs="Times New Roman"/>
          <w:kern w:val="0"/>
          <w:sz w:val="30"/>
        </w:rPr>
        <w:t>一、项目概况（采购标的）</w:t>
      </w:r>
      <w:bookmarkEnd w:id="19"/>
    </w:p>
    <w:p>
      <w:pPr>
        <w:pStyle w:val="48"/>
        <w:numPr>
          <w:ilvl w:val="0"/>
          <w:numId w:val="3"/>
        </w:numPr>
        <w:spacing w:beforeLines="100" w:afterLines="100"/>
        <w:ind w:left="0" w:firstLine="0" w:firstLineChars="0"/>
        <w:rPr>
          <w:rFonts w:ascii="宋体" w:hAnsi="宋体" w:eastAsia="宋体"/>
          <w:b/>
          <w:sz w:val="28"/>
          <w:szCs w:val="28"/>
          <w:highlight w:val="none"/>
        </w:rPr>
      </w:pPr>
      <w:r>
        <w:rPr>
          <w:rFonts w:hint="eastAsia" w:ascii="宋体" w:hAnsi="宋体" w:eastAsia="宋体"/>
          <w:b/>
          <w:sz w:val="28"/>
          <w:szCs w:val="28"/>
          <w:highlight w:val="none"/>
        </w:rPr>
        <w:t>项目概况</w:t>
      </w:r>
    </w:p>
    <w:p>
      <w:pPr>
        <w:pStyle w:val="48"/>
        <w:numPr>
          <w:ilvl w:val="1"/>
          <w:numId w:val="3"/>
        </w:numPr>
        <w:tabs>
          <w:tab w:val="left" w:pos="993"/>
        </w:tabs>
        <w:spacing w:line="360" w:lineRule="auto"/>
        <w:ind w:left="-420" w:leftChars="0" w:firstLine="851" w:firstLineChars="0"/>
        <w:rPr>
          <w:rFonts w:ascii="宋体" w:hAnsi="宋体" w:eastAsia="宋体"/>
          <w:sz w:val="24"/>
          <w:szCs w:val="28"/>
          <w:highlight w:val="none"/>
        </w:rPr>
      </w:pPr>
      <w:r>
        <w:rPr>
          <w:rFonts w:hint="eastAsia" w:ascii="宋体" w:hAnsi="宋体"/>
          <w:sz w:val="24"/>
          <w:highlight w:val="none"/>
        </w:rPr>
        <w:t>本项目为厦门市苏颂医院的彩超一批</w:t>
      </w:r>
      <w:r>
        <w:rPr>
          <w:rFonts w:hint="eastAsia" w:ascii="宋体" w:hAnsi="宋体"/>
          <w:sz w:val="24"/>
          <w:lang w:eastAsia="zh-CN"/>
        </w:rPr>
        <w:t>（</w:t>
      </w:r>
      <w:r>
        <w:rPr>
          <w:rFonts w:hint="eastAsia" w:ascii="宋体" w:hAnsi="宋体"/>
          <w:sz w:val="24"/>
        </w:rPr>
        <w:t>即</w:t>
      </w:r>
      <w:r>
        <w:rPr>
          <w:rFonts w:hint="eastAsia" w:ascii="宋体" w:hAnsi="宋体" w:eastAsia="宋体" w:cs="Times New Roman"/>
          <w:kern w:val="0"/>
          <w:sz w:val="24"/>
          <w:szCs w:val="20"/>
        </w:rPr>
        <w:t>彩色多普勒超声诊断仪</w:t>
      </w:r>
      <w:r>
        <w:rPr>
          <w:rFonts w:hint="eastAsia" w:ascii="宋体" w:hAnsi="宋体"/>
          <w:sz w:val="24"/>
        </w:rPr>
        <w:t>）</w:t>
      </w:r>
      <w:r>
        <w:rPr>
          <w:rFonts w:hint="eastAsia" w:ascii="宋体" w:hAnsi="宋体"/>
          <w:sz w:val="24"/>
          <w:highlight w:val="none"/>
        </w:rPr>
        <w:t>项目，</w:t>
      </w:r>
      <w:r>
        <w:rPr>
          <w:rFonts w:hint="eastAsia" w:ascii="宋体" w:hAnsi="宋体"/>
          <w:sz w:val="24"/>
          <w:highlight w:val="none"/>
          <w:lang w:val="en-US" w:eastAsia="zh-CN"/>
        </w:rPr>
        <w:t>为</w:t>
      </w:r>
      <w:r>
        <w:rPr>
          <w:rFonts w:hint="eastAsia" w:ascii="宋体" w:hAnsi="宋体"/>
          <w:sz w:val="24"/>
          <w:highlight w:val="none"/>
        </w:rPr>
        <w:t>满足临床需求，进一步配合临床诊疗</w:t>
      </w:r>
      <w:r>
        <w:rPr>
          <w:rFonts w:hint="eastAsia" w:ascii="宋体" w:hAnsi="宋体"/>
          <w:sz w:val="24"/>
          <w:highlight w:val="none"/>
          <w:lang w:eastAsia="zh-CN"/>
        </w:rPr>
        <w:t>，</w:t>
      </w:r>
      <w:r>
        <w:rPr>
          <w:rFonts w:hint="eastAsia" w:ascii="宋体" w:hAnsi="宋体"/>
          <w:sz w:val="24"/>
          <w:highlight w:val="none"/>
          <w:lang w:val="en-US" w:eastAsia="zh-CN"/>
        </w:rPr>
        <w:t>拟采购2套彩超设备</w:t>
      </w:r>
      <w:r>
        <w:rPr>
          <w:rFonts w:hint="eastAsia" w:ascii="宋体" w:hAnsi="宋体" w:eastAsia="宋体"/>
          <w:sz w:val="24"/>
          <w:highlight w:val="none"/>
          <w:lang w:eastAsia="zh-CN"/>
        </w:rPr>
        <w:t>。</w:t>
      </w:r>
    </w:p>
    <w:p>
      <w:pPr>
        <w:pStyle w:val="3"/>
        <w:spacing w:beforeLines="100" w:afterLines="100" w:line="240" w:lineRule="auto"/>
        <w:jc w:val="left"/>
        <w:rPr>
          <w:rFonts w:ascii="黑体" w:hAnsi="黑体" w:eastAsia="黑体" w:cs="Times New Roman"/>
          <w:kern w:val="0"/>
          <w:sz w:val="30"/>
        </w:rPr>
      </w:pPr>
      <w:bookmarkStart w:id="20" w:name="_Toc139103799"/>
      <w:r>
        <w:rPr>
          <w:rFonts w:ascii="黑体" w:hAnsi="黑体" w:eastAsia="黑体" w:cs="Times New Roman"/>
          <w:kern w:val="0"/>
          <w:sz w:val="30"/>
        </w:rPr>
        <w:t>二、技术和服务要求</w:t>
      </w:r>
      <w:bookmarkEnd w:id="20"/>
    </w:p>
    <w:p>
      <w:pPr>
        <w:rPr>
          <w:rFonts w:ascii="宋体" w:hAnsi="宋体"/>
          <w:sz w:val="28"/>
          <w:szCs w:val="28"/>
        </w:rPr>
      </w:pPr>
      <w:r>
        <w:rPr>
          <w:rFonts w:ascii="宋体" w:hAnsi="宋体"/>
          <w:sz w:val="28"/>
          <w:szCs w:val="28"/>
        </w:rPr>
        <w:t>（以“</w:t>
      </w:r>
      <w:r>
        <w:rPr>
          <w:rFonts w:hint="eastAsia" w:ascii="宋体" w:hAnsi="宋体" w:cs="宋体"/>
          <w:sz w:val="28"/>
          <w:szCs w:val="28"/>
        </w:rPr>
        <w:t>★</w:t>
      </w:r>
      <w:r>
        <w:rPr>
          <w:rFonts w:ascii="宋体" w:hAnsi="宋体" w:cs="Calibri"/>
          <w:sz w:val="28"/>
          <w:szCs w:val="28"/>
        </w:rPr>
        <w:t>”</w:t>
      </w:r>
      <w:r>
        <w:rPr>
          <w:rFonts w:ascii="宋体" w:hAnsi="宋体"/>
          <w:sz w:val="28"/>
          <w:szCs w:val="28"/>
        </w:rPr>
        <w:t>标示的内容为不允许负偏离的实质性要求）</w:t>
      </w:r>
    </w:p>
    <w:p>
      <w:pPr>
        <w:pStyle w:val="48"/>
        <w:numPr>
          <w:ilvl w:val="0"/>
          <w:numId w:val="3"/>
        </w:numPr>
        <w:spacing w:beforeLines="100" w:afterLines="100"/>
        <w:ind w:left="0" w:firstLine="0" w:firstLineChars="0"/>
        <w:rPr>
          <w:rFonts w:ascii="宋体" w:hAnsi="宋体" w:eastAsia="宋体"/>
          <w:b/>
          <w:sz w:val="28"/>
          <w:szCs w:val="28"/>
          <w:highlight w:val="none"/>
        </w:rPr>
      </w:pPr>
      <w:r>
        <w:rPr>
          <w:rFonts w:hint="eastAsia" w:ascii="宋体" w:hAnsi="宋体" w:eastAsia="宋体"/>
          <w:b/>
          <w:sz w:val="28"/>
          <w:szCs w:val="28"/>
          <w:highlight w:val="none"/>
        </w:rPr>
        <w:t>技术参数要求</w:t>
      </w:r>
    </w:p>
    <w:p>
      <w:pPr>
        <w:pStyle w:val="48"/>
        <w:numPr>
          <w:ilvl w:val="1"/>
          <w:numId w:val="3"/>
        </w:numPr>
        <w:tabs>
          <w:tab w:val="left" w:pos="993"/>
        </w:tabs>
        <w:spacing w:line="360" w:lineRule="auto"/>
        <w:ind w:left="-420" w:leftChars="0" w:firstLine="851"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全数字化彩色多普勒超声诊断系统主机</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lang w:val="en-US" w:eastAsia="zh-CN"/>
        </w:rPr>
        <w:t>配备</w:t>
      </w:r>
      <w:r>
        <w:rPr>
          <w:rFonts w:hint="eastAsia" w:ascii="宋体" w:hAnsi="宋体"/>
          <w:sz w:val="24"/>
          <w:highlight w:val="none"/>
        </w:rPr>
        <w:t>≥21英寸高分辨率彩色液晶显示器</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lang w:val="en-US" w:eastAsia="zh-CN"/>
        </w:rPr>
        <w:t>配备</w:t>
      </w:r>
      <w:r>
        <w:rPr>
          <w:rFonts w:hint="eastAsia" w:ascii="宋体" w:hAnsi="宋体"/>
          <w:sz w:val="24"/>
          <w:highlight w:val="none"/>
        </w:rPr>
        <w:t>≥12英寸高灵敏度防反光彩色触摸屏，支持手势操作</w:t>
      </w:r>
      <w:r>
        <w:rPr>
          <w:rFonts w:hint="eastAsia" w:ascii="宋体" w:hAnsi="宋体"/>
          <w:sz w:val="24"/>
          <w:highlight w:val="none"/>
          <w:lang w:eastAsia="zh-CN"/>
        </w:rPr>
        <w:t>，</w:t>
      </w:r>
      <w:r>
        <w:rPr>
          <w:rFonts w:hint="eastAsia" w:ascii="宋体" w:hAnsi="宋体"/>
          <w:sz w:val="24"/>
          <w:highlight w:val="none"/>
        </w:rPr>
        <w:t>触摸屏角度可调</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控制面板可独立旋转、升降</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▲无焦点，全域聚焦</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组织特异性成像预设</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▲探头接口≥4个，无针式探头接口</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二维灰阶模式</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谐波成像模式</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M型模式</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彩色M型模式</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彩色多普勒成像（包括彩色、能量、方向能量多普勒模式）</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频谱多普勒成像（包括脉冲多普勒、高脉冲重复频率、连续波多普勒）</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组织多普勒成像</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宽景成像</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空间复合成像</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斑点抑制成像</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频率复合成像</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独立角度偏转</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扩展成像</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实时双幅对比成像</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高分辨率血流成像</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▲精细血流自动识别成像或逐微血流成像或微细血流成像</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具备一键自动优化功能</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lang w:val="en-US" w:eastAsia="zh-CN"/>
        </w:rPr>
        <w:t>支持</w:t>
      </w:r>
      <w:r>
        <w:rPr>
          <w:rFonts w:hint="eastAsia" w:ascii="宋体" w:hAnsi="宋体"/>
          <w:sz w:val="24"/>
          <w:highlight w:val="none"/>
        </w:rPr>
        <w:t>全屏放大</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lang w:val="en-US" w:eastAsia="zh-CN"/>
        </w:rPr>
        <w:t>支持</w:t>
      </w:r>
      <w:r>
        <w:rPr>
          <w:rFonts w:hint="eastAsia" w:ascii="宋体" w:hAnsi="宋体"/>
          <w:sz w:val="24"/>
          <w:highlight w:val="none"/>
        </w:rPr>
        <w:t>局部放大</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▲造影</w:t>
      </w:r>
      <w:r>
        <w:rPr>
          <w:rFonts w:hint="eastAsia" w:ascii="宋体" w:hAnsi="宋体"/>
          <w:sz w:val="24"/>
          <w:highlight w:val="none"/>
          <w:lang w:eastAsia="zh-CN"/>
        </w:rPr>
        <w:t>：</w:t>
      </w:r>
      <w:r>
        <w:rPr>
          <w:rFonts w:hint="eastAsia" w:ascii="宋体" w:hAnsi="宋体"/>
          <w:sz w:val="24"/>
          <w:highlight w:val="none"/>
        </w:rPr>
        <w:t>要求</w:t>
      </w:r>
      <w:r>
        <w:rPr>
          <w:rFonts w:hint="eastAsia" w:ascii="宋体" w:hAnsi="宋体"/>
          <w:sz w:val="24"/>
          <w:highlight w:val="none"/>
          <w:lang w:val="en-US" w:eastAsia="zh-CN"/>
        </w:rPr>
        <w:t>①</w:t>
      </w:r>
      <w:r>
        <w:rPr>
          <w:rFonts w:hint="eastAsia" w:ascii="宋体" w:hAnsi="宋体"/>
          <w:sz w:val="24"/>
          <w:highlight w:val="none"/>
        </w:rPr>
        <w:t>支持腹部探头、浅表探头</w:t>
      </w:r>
      <w:r>
        <w:rPr>
          <w:rFonts w:hint="eastAsia" w:ascii="宋体" w:hAnsi="宋体"/>
          <w:sz w:val="24"/>
          <w:highlight w:val="none"/>
          <w:lang w:eastAsia="zh-CN"/>
        </w:rPr>
        <w:t>；</w:t>
      </w:r>
      <w:r>
        <w:rPr>
          <w:rFonts w:hint="eastAsia" w:ascii="宋体" w:hAnsi="宋体"/>
          <w:sz w:val="24"/>
          <w:highlight w:val="none"/>
          <w:lang w:val="en-US" w:eastAsia="zh-CN"/>
        </w:rPr>
        <w:t>②</w:t>
      </w:r>
      <w:r>
        <w:rPr>
          <w:rFonts w:hint="eastAsia" w:ascii="宋体" w:hAnsi="宋体"/>
          <w:sz w:val="24"/>
          <w:highlight w:val="none"/>
        </w:rPr>
        <w:t>支持低机械指数造影</w:t>
      </w:r>
      <w:r>
        <w:rPr>
          <w:rFonts w:hint="eastAsia" w:ascii="宋体" w:hAnsi="宋体"/>
          <w:sz w:val="24"/>
          <w:highlight w:val="none"/>
          <w:lang w:eastAsia="zh-CN"/>
        </w:rPr>
        <w:t>；</w:t>
      </w:r>
      <w:r>
        <w:rPr>
          <w:rFonts w:hint="eastAsia" w:ascii="宋体" w:hAnsi="宋体"/>
          <w:sz w:val="24"/>
          <w:highlight w:val="none"/>
          <w:lang w:val="en-US" w:eastAsia="zh-CN"/>
        </w:rPr>
        <w:t>③</w:t>
      </w:r>
    </w:p>
    <w:p>
      <w:pPr>
        <w:pStyle w:val="48"/>
        <w:numPr>
          <w:ilvl w:val="0"/>
          <w:numId w:val="0"/>
        </w:numPr>
        <w:tabs>
          <w:tab w:val="left" w:pos="993"/>
        </w:tabs>
        <w:spacing w:line="360" w:lineRule="auto"/>
        <w:ind w:left="0" w:leftChars="0" w:firstLine="0" w:firstLineChars="0"/>
        <w:rPr>
          <w:rFonts w:hint="eastAsia" w:ascii="宋体" w:hAnsi="宋体" w:eastAsia="宋体"/>
          <w:sz w:val="24"/>
          <w:highlight w:val="none"/>
          <w:lang w:eastAsia="zh-CN"/>
        </w:rPr>
      </w:pPr>
      <w:r>
        <w:rPr>
          <w:rFonts w:hint="eastAsia" w:ascii="宋体" w:hAnsi="宋体"/>
          <w:sz w:val="24"/>
          <w:highlight w:val="none"/>
        </w:rPr>
        <w:t>支持向后存储，≥5分钟电影</w:t>
      </w:r>
      <w:r>
        <w:rPr>
          <w:rFonts w:hint="eastAsia"/>
          <w:lang w:eastAsia="zh-CN"/>
        </w:rPr>
        <w:t>；</w:t>
      </w:r>
      <w:r>
        <w:rPr>
          <w:rFonts w:hint="eastAsia"/>
          <w:lang w:val="en-US" w:eastAsia="zh-CN"/>
        </w:rPr>
        <w:t>③</w:t>
      </w:r>
      <w:r>
        <w:rPr>
          <w:rFonts w:hint="eastAsia" w:ascii="宋体" w:hAnsi="宋体"/>
          <w:sz w:val="24"/>
          <w:highlight w:val="none"/>
        </w:rPr>
        <w:t>支持向前存储</w:t>
      </w:r>
      <w:r>
        <w:rPr>
          <w:rFonts w:hint="eastAsia" w:ascii="宋体" w:hAnsi="宋体"/>
          <w:sz w:val="24"/>
          <w:highlight w:val="none"/>
          <w:lang w:eastAsia="zh-CN"/>
        </w:rPr>
        <w:t>；</w:t>
      </w:r>
      <w:r>
        <w:rPr>
          <w:rFonts w:hint="eastAsia" w:ascii="宋体" w:hAnsi="宋体"/>
          <w:sz w:val="24"/>
          <w:highlight w:val="none"/>
          <w:lang w:val="en-US" w:eastAsia="zh-CN"/>
        </w:rPr>
        <w:t>④</w:t>
      </w:r>
      <w:r>
        <w:rPr>
          <w:rFonts w:hint="eastAsia" w:ascii="宋体" w:hAnsi="宋体"/>
          <w:sz w:val="24"/>
          <w:highlight w:val="none"/>
        </w:rPr>
        <w:t>双实时</w:t>
      </w:r>
      <w:r>
        <w:rPr>
          <w:rFonts w:hint="eastAsia" w:ascii="宋体" w:hAnsi="宋体"/>
          <w:sz w:val="24"/>
          <w:highlight w:val="none"/>
          <w:lang w:eastAsia="zh-CN"/>
        </w:rPr>
        <w:t>：</w:t>
      </w:r>
      <w:r>
        <w:rPr>
          <w:rFonts w:hint="eastAsia" w:ascii="宋体" w:hAnsi="宋体"/>
          <w:sz w:val="24"/>
          <w:highlight w:val="none"/>
        </w:rPr>
        <w:t>实时显示组织图像和造影图像</w:t>
      </w:r>
      <w:r>
        <w:rPr>
          <w:rFonts w:hint="eastAsia" w:ascii="宋体" w:hAnsi="宋体"/>
          <w:sz w:val="24"/>
          <w:highlight w:val="none"/>
          <w:lang w:eastAsia="zh-CN"/>
        </w:rPr>
        <w:t>；</w:t>
      </w:r>
      <w:r>
        <w:rPr>
          <w:rFonts w:hint="eastAsia" w:ascii="宋体" w:hAnsi="宋体"/>
          <w:sz w:val="24"/>
          <w:highlight w:val="none"/>
          <w:lang w:val="en-US" w:eastAsia="zh-CN"/>
        </w:rPr>
        <w:t>⑤</w:t>
      </w:r>
      <w:r>
        <w:rPr>
          <w:rFonts w:hint="eastAsia" w:ascii="宋体" w:hAnsi="宋体"/>
          <w:sz w:val="24"/>
          <w:highlight w:val="none"/>
        </w:rPr>
        <w:t>支持斑点噪声抑制</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▲支持应变式弹性成像</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▲支持剪切波定量式弹性成像功能，可以显示二维剪切波弹性成像图</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体表标识</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测量/分析和报告</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常规测量、多普勒测量、自动频谱测量</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全科测量包，生成报告</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血管内中膜测量</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▲支持血管内中膜自动测量</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电影回放和原始数据处理</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所有模式下可用</w:t>
      </w:r>
      <w:r>
        <w:rPr>
          <w:rFonts w:hint="eastAsia" w:ascii="宋体" w:hAnsi="宋体"/>
          <w:sz w:val="24"/>
          <w:highlight w:val="none"/>
          <w:lang w:eastAsia="zh-CN"/>
        </w:rPr>
        <w:t>：</w:t>
      </w:r>
      <w:r>
        <w:rPr>
          <w:rFonts w:hint="eastAsia" w:ascii="宋体" w:hAnsi="宋体"/>
          <w:sz w:val="24"/>
          <w:highlight w:val="none"/>
          <w:lang w:val="en-US" w:eastAsia="zh-CN"/>
        </w:rPr>
        <w:t>①</w:t>
      </w:r>
      <w:r>
        <w:rPr>
          <w:rFonts w:hint="eastAsia" w:ascii="宋体" w:hAnsi="宋体"/>
          <w:sz w:val="24"/>
          <w:highlight w:val="none"/>
        </w:rPr>
        <w:t>支持手动、自动回放</w:t>
      </w:r>
      <w:r>
        <w:rPr>
          <w:rFonts w:hint="eastAsia" w:ascii="宋体" w:hAnsi="宋体"/>
          <w:sz w:val="24"/>
          <w:highlight w:val="none"/>
          <w:lang w:eastAsia="zh-CN"/>
        </w:rPr>
        <w:t>；</w:t>
      </w:r>
      <w:r>
        <w:rPr>
          <w:rFonts w:hint="eastAsia" w:ascii="宋体" w:hAnsi="宋体"/>
          <w:sz w:val="24"/>
          <w:highlight w:val="none"/>
          <w:lang w:val="en-US" w:eastAsia="zh-CN"/>
        </w:rPr>
        <w:t>②</w:t>
      </w:r>
      <w:r>
        <w:rPr>
          <w:rFonts w:hint="eastAsia" w:ascii="宋体" w:hAnsi="宋体"/>
          <w:sz w:val="24"/>
          <w:highlight w:val="none"/>
        </w:rPr>
        <w:t>支持电影存储，存储≥5分钟或≥2200帧的电影</w:t>
      </w:r>
      <w:r>
        <w:rPr>
          <w:rFonts w:hint="eastAsia" w:ascii="宋体" w:hAnsi="宋体"/>
          <w:sz w:val="24"/>
          <w:highlight w:val="none"/>
          <w:lang w:eastAsia="zh-CN"/>
        </w:rPr>
        <w:t>；</w:t>
      </w:r>
      <w:r>
        <w:rPr>
          <w:rFonts w:hint="eastAsia" w:ascii="宋体" w:hAnsi="宋体"/>
          <w:sz w:val="24"/>
          <w:highlight w:val="none"/>
          <w:lang w:val="en-US" w:eastAsia="zh-CN"/>
        </w:rPr>
        <w:t>③</w:t>
      </w:r>
      <w:r>
        <w:rPr>
          <w:rFonts w:hint="eastAsia" w:ascii="宋体" w:hAnsi="宋体"/>
          <w:sz w:val="24"/>
          <w:highlight w:val="none"/>
        </w:rPr>
        <w:t>支持图像对比（动态、静态）</w:t>
      </w:r>
    </w:p>
    <w:p>
      <w:pPr>
        <w:pStyle w:val="48"/>
        <w:numPr>
          <w:ilvl w:val="2"/>
          <w:numId w:val="3"/>
        </w:numPr>
        <w:tabs>
          <w:tab w:val="left" w:pos="993"/>
        </w:tabs>
        <w:spacing w:line="360" w:lineRule="auto"/>
        <w:ind w:left="0" w:leftChars="0" w:firstLine="851" w:firstLineChars="0"/>
        <w:rPr>
          <w:rFonts w:hint="eastAsia" w:ascii="宋体" w:hAnsi="宋体"/>
          <w:sz w:val="24"/>
          <w:highlight w:val="none"/>
        </w:rPr>
      </w:pPr>
      <w:r>
        <w:rPr>
          <w:rFonts w:hint="eastAsia" w:ascii="宋体" w:hAnsi="宋体"/>
          <w:sz w:val="24"/>
          <w:highlight w:val="none"/>
        </w:rPr>
        <w:t>原始数据处理，支持动、静态图像冻结后处理</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检查存储和管理（内置超声工作站）</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 xml:space="preserve">检查存储≥1T硬盘 </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内置超声工作站</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多种导出图像格式：动态图像、静态图像以PC格式直接导出，无需特殊软件即能在普通PC 机上直接观看图像。</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连通性要求</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支持网络连接</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支持DICOM 3.0 接口连接</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视频/音频输入、输出，高清输出</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支持ECG信号</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系统技术参数及要求</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二维灰阶模式</w:t>
      </w:r>
    </w:p>
    <w:p>
      <w:pPr>
        <w:pStyle w:val="48"/>
        <w:numPr>
          <w:ilvl w:val="3"/>
          <w:numId w:val="3"/>
        </w:numPr>
        <w:tabs>
          <w:tab w:val="left" w:pos="993"/>
        </w:tabs>
        <w:spacing w:line="360" w:lineRule="auto"/>
        <w:ind w:left="850" w:firstLine="48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数字化声束形成器</w:t>
      </w:r>
    </w:p>
    <w:p>
      <w:pPr>
        <w:pStyle w:val="48"/>
        <w:numPr>
          <w:ilvl w:val="3"/>
          <w:numId w:val="3"/>
        </w:numPr>
        <w:tabs>
          <w:tab w:val="left" w:pos="993"/>
        </w:tabs>
        <w:spacing w:line="360" w:lineRule="auto"/>
        <w:ind w:left="850" w:firstLine="48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全程动态聚焦</w:t>
      </w:r>
    </w:p>
    <w:p>
      <w:pPr>
        <w:pStyle w:val="48"/>
        <w:numPr>
          <w:ilvl w:val="3"/>
          <w:numId w:val="3"/>
        </w:numPr>
        <w:tabs>
          <w:tab w:val="left" w:pos="993"/>
        </w:tabs>
        <w:spacing w:line="360" w:lineRule="auto"/>
        <w:ind w:left="850" w:firstLine="48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多倍信号并行处理</w:t>
      </w:r>
    </w:p>
    <w:p>
      <w:pPr>
        <w:pStyle w:val="48"/>
        <w:numPr>
          <w:ilvl w:val="3"/>
          <w:numId w:val="3"/>
        </w:numPr>
        <w:tabs>
          <w:tab w:val="left" w:pos="993"/>
        </w:tabs>
        <w:spacing w:line="360" w:lineRule="auto"/>
        <w:ind w:left="850" w:firstLine="48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预设条件：针对不同的检查脏器，预置最佳图像检查条件</w:t>
      </w:r>
    </w:p>
    <w:p>
      <w:pPr>
        <w:pStyle w:val="48"/>
        <w:numPr>
          <w:ilvl w:val="3"/>
          <w:numId w:val="3"/>
        </w:numPr>
        <w:tabs>
          <w:tab w:val="left" w:pos="993"/>
        </w:tabs>
        <w:spacing w:line="360" w:lineRule="auto"/>
        <w:ind w:left="850" w:firstLine="480"/>
        <w:jc w:val="left"/>
        <w:rPr>
          <w:rFonts w:hint="eastAsia" w:ascii="宋体" w:hAnsi="宋体" w:eastAsia="宋体" w:cs="Times New Roman"/>
          <w:color w:val="auto"/>
          <w:sz w:val="24"/>
          <w:szCs w:val="22"/>
          <w:highlight w:val="none"/>
        </w:rPr>
      </w:pPr>
      <w:r>
        <w:rPr>
          <w:rFonts w:hint="eastAsia" w:ascii="宋体" w:hAnsi="宋体" w:eastAsia="宋体" w:cs="Times New Roman"/>
          <w:b w:val="0"/>
          <w:bCs w:val="0"/>
          <w:sz w:val="24"/>
          <w:szCs w:val="22"/>
          <w:highlight w:val="none"/>
          <w:shd w:val="clear" w:color="auto" w:fill="auto"/>
        </w:rPr>
        <w:t>▲</w:t>
      </w:r>
      <w:r>
        <w:rPr>
          <w:rFonts w:hint="eastAsia" w:ascii="宋体" w:hAnsi="宋体" w:eastAsia="宋体" w:cs="Times New Roman"/>
          <w:color w:val="auto"/>
          <w:sz w:val="24"/>
          <w:szCs w:val="22"/>
          <w:highlight w:val="none"/>
        </w:rPr>
        <w:t>最大显示深度</w:t>
      </w:r>
      <w:r>
        <w:rPr>
          <w:rFonts w:hint="eastAsia" w:ascii="宋体" w:hAnsi="宋体" w:eastAsia="宋体" w:cs="Times New Roman"/>
          <w:color w:val="auto"/>
          <w:sz w:val="24"/>
          <w:szCs w:val="22"/>
          <w:highlight w:val="none"/>
          <w:lang w:eastAsia="zh-CN"/>
        </w:rPr>
        <w:t>：</w:t>
      </w:r>
      <w:r>
        <w:rPr>
          <w:rFonts w:hint="eastAsia" w:ascii="宋体" w:hAnsi="宋体" w:eastAsia="宋体" w:cs="Times New Roman"/>
          <w:color w:val="auto"/>
          <w:sz w:val="24"/>
          <w:szCs w:val="22"/>
          <w:highlight w:val="none"/>
        </w:rPr>
        <w:t xml:space="preserve">≥40cm </w:t>
      </w:r>
    </w:p>
    <w:p>
      <w:pPr>
        <w:pStyle w:val="48"/>
        <w:numPr>
          <w:ilvl w:val="3"/>
          <w:numId w:val="3"/>
        </w:numPr>
        <w:tabs>
          <w:tab w:val="left" w:pos="993"/>
        </w:tabs>
        <w:spacing w:line="360" w:lineRule="auto"/>
        <w:ind w:left="850" w:firstLine="48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TGC</w:t>
      </w:r>
      <w:r>
        <w:rPr>
          <w:rFonts w:hint="eastAsia" w:ascii="宋体" w:hAnsi="宋体" w:eastAsia="宋体" w:cs="Times New Roman"/>
          <w:color w:val="auto"/>
          <w:sz w:val="24"/>
          <w:szCs w:val="22"/>
          <w:highlight w:val="none"/>
          <w:lang w:eastAsia="zh-CN"/>
        </w:rPr>
        <w:t>：</w:t>
      </w:r>
      <w:r>
        <w:rPr>
          <w:rFonts w:hint="eastAsia" w:ascii="宋体" w:hAnsi="宋体" w:eastAsia="宋体" w:cs="Times New Roman"/>
          <w:color w:val="auto"/>
          <w:sz w:val="24"/>
          <w:szCs w:val="22"/>
          <w:highlight w:val="none"/>
        </w:rPr>
        <w:t>≥8段</w:t>
      </w:r>
    </w:p>
    <w:p>
      <w:pPr>
        <w:pStyle w:val="48"/>
        <w:numPr>
          <w:ilvl w:val="3"/>
          <w:numId w:val="3"/>
        </w:numPr>
        <w:tabs>
          <w:tab w:val="left" w:pos="993"/>
        </w:tabs>
        <w:spacing w:line="360" w:lineRule="auto"/>
        <w:ind w:left="850" w:firstLine="48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二维灰阶：≥256</w:t>
      </w:r>
    </w:p>
    <w:p>
      <w:pPr>
        <w:pStyle w:val="48"/>
        <w:numPr>
          <w:ilvl w:val="3"/>
          <w:numId w:val="3"/>
        </w:numPr>
        <w:tabs>
          <w:tab w:val="left" w:pos="993"/>
        </w:tabs>
        <w:spacing w:line="360" w:lineRule="auto"/>
        <w:ind w:left="850" w:firstLine="48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动态范围</w:t>
      </w:r>
      <w:r>
        <w:rPr>
          <w:rFonts w:hint="eastAsia" w:ascii="宋体" w:hAnsi="宋体" w:eastAsia="宋体" w:cs="Times New Roman"/>
          <w:color w:val="auto"/>
          <w:sz w:val="24"/>
          <w:szCs w:val="22"/>
          <w:highlight w:val="none"/>
          <w:lang w:eastAsia="zh-CN"/>
        </w:rPr>
        <w:t>：</w:t>
      </w:r>
      <w:r>
        <w:rPr>
          <w:rFonts w:hint="eastAsia" w:ascii="宋体" w:hAnsi="宋体" w:eastAsia="宋体" w:cs="Times New Roman"/>
          <w:color w:val="auto"/>
          <w:sz w:val="24"/>
          <w:szCs w:val="22"/>
          <w:highlight w:val="none"/>
        </w:rPr>
        <w:t xml:space="preserve">≥260 </w:t>
      </w:r>
    </w:p>
    <w:p>
      <w:pPr>
        <w:pStyle w:val="48"/>
        <w:numPr>
          <w:ilvl w:val="3"/>
          <w:numId w:val="3"/>
        </w:numPr>
        <w:tabs>
          <w:tab w:val="left" w:pos="993"/>
        </w:tabs>
        <w:spacing w:line="360" w:lineRule="auto"/>
        <w:ind w:left="850" w:firstLine="48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增益调节</w:t>
      </w:r>
    </w:p>
    <w:p>
      <w:pPr>
        <w:pStyle w:val="48"/>
        <w:numPr>
          <w:ilvl w:val="3"/>
          <w:numId w:val="3"/>
        </w:numPr>
        <w:tabs>
          <w:tab w:val="left" w:pos="993"/>
        </w:tabs>
        <w:spacing w:line="360" w:lineRule="auto"/>
        <w:ind w:left="850" w:firstLine="48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伪彩图谱</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彩色多普勒成像</w:t>
      </w:r>
    </w:p>
    <w:p>
      <w:pPr>
        <w:pStyle w:val="48"/>
        <w:numPr>
          <w:ilvl w:val="3"/>
          <w:numId w:val="3"/>
        </w:numPr>
        <w:tabs>
          <w:tab w:val="left" w:pos="993"/>
        </w:tabs>
        <w:spacing w:line="360" w:lineRule="auto"/>
        <w:ind w:left="850" w:firstLine="48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包括速度、速度方差、能量、方向能量显示等</w:t>
      </w:r>
    </w:p>
    <w:p>
      <w:pPr>
        <w:pStyle w:val="48"/>
        <w:numPr>
          <w:ilvl w:val="3"/>
          <w:numId w:val="3"/>
        </w:numPr>
        <w:tabs>
          <w:tab w:val="left" w:pos="993"/>
        </w:tabs>
        <w:spacing w:line="360" w:lineRule="auto"/>
        <w:ind w:left="850" w:firstLine="48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显示方式：B/C、B/C/M、B/POWER、B/C/PW</w:t>
      </w:r>
    </w:p>
    <w:p>
      <w:pPr>
        <w:pStyle w:val="48"/>
        <w:numPr>
          <w:ilvl w:val="3"/>
          <w:numId w:val="3"/>
        </w:numPr>
        <w:tabs>
          <w:tab w:val="left" w:pos="993"/>
        </w:tabs>
        <w:spacing w:line="360" w:lineRule="auto"/>
        <w:ind w:left="850" w:firstLine="48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取样框偏转</w:t>
      </w:r>
      <w:r>
        <w:rPr>
          <w:rFonts w:hint="eastAsia" w:ascii="宋体" w:hAnsi="宋体" w:eastAsia="宋体" w:cs="Times New Roman"/>
          <w:color w:val="auto"/>
          <w:sz w:val="24"/>
          <w:szCs w:val="22"/>
          <w:highlight w:val="none"/>
          <w:lang w:eastAsia="zh-CN"/>
        </w:rPr>
        <w:t>：</w:t>
      </w:r>
      <w:r>
        <w:rPr>
          <w:rFonts w:hint="eastAsia" w:ascii="宋体" w:hAnsi="宋体" w:eastAsia="宋体" w:cs="Times New Roman"/>
          <w:color w:val="auto"/>
          <w:sz w:val="24"/>
          <w:szCs w:val="22"/>
          <w:highlight w:val="none"/>
        </w:rPr>
        <w:t xml:space="preserve"> ≥±20度 (线阵探头)</w:t>
      </w:r>
    </w:p>
    <w:p>
      <w:pPr>
        <w:pStyle w:val="48"/>
        <w:numPr>
          <w:ilvl w:val="3"/>
          <w:numId w:val="3"/>
        </w:numPr>
        <w:tabs>
          <w:tab w:val="left" w:pos="993"/>
        </w:tabs>
        <w:spacing w:line="360" w:lineRule="auto"/>
        <w:ind w:left="850" w:firstLine="48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支持B/C 同宽</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6.3频谱多普勒模式</w:t>
      </w:r>
    </w:p>
    <w:p>
      <w:pPr>
        <w:pStyle w:val="48"/>
        <w:numPr>
          <w:ilvl w:val="3"/>
          <w:numId w:val="3"/>
        </w:numPr>
        <w:tabs>
          <w:tab w:val="left" w:pos="993"/>
        </w:tabs>
        <w:spacing w:line="360" w:lineRule="auto"/>
        <w:ind w:left="850" w:firstLine="48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包括脉冲多普勒、高脉冲重复频率、连续多普勒</w:t>
      </w:r>
    </w:p>
    <w:p>
      <w:pPr>
        <w:pStyle w:val="48"/>
        <w:numPr>
          <w:ilvl w:val="3"/>
          <w:numId w:val="3"/>
        </w:numPr>
        <w:tabs>
          <w:tab w:val="left" w:pos="993"/>
        </w:tabs>
        <w:spacing w:line="360" w:lineRule="auto"/>
        <w:ind w:left="850" w:firstLine="480"/>
        <w:jc w:val="left"/>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rPr>
        <w:t>支持频谱自动测量</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组织多普勒成像</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心功能自动测量工具</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支持小儿髋关节测量功能，</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探头规格</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频率：超宽频带或变频探头</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二维、彩色、多普勒均可独立变频</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可选探头类型：相控阵、凸阵、线阵、腔内</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 xml:space="preserve">探头：①单晶体凸阵探头；②血管线阵探头；③高频线阵探头；④腔内凸阵探头 </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声功率输出调节</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输出功率可选择分级调节</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外设和附件</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储物托架套件</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探头放置槽≥5个</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支持外接打印机</w:t>
      </w:r>
    </w:p>
    <w:p>
      <w:pPr>
        <w:pStyle w:val="48"/>
        <w:widowControl/>
        <w:numPr>
          <w:ilvl w:val="1"/>
          <w:numId w:val="3"/>
        </w:numPr>
        <w:tabs>
          <w:tab w:val="left" w:pos="993"/>
        </w:tabs>
        <w:spacing w:line="360" w:lineRule="auto"/>
        <w:ind w:left="-420" w:leftChars="0" w:firstLine="851" w:firstLineChars="0"/>
        <w:jc w:val="left"/>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其他功能</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造影功能支持相控阵、凸阵、线阵、腔内探头</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en-US" w:eastAsia="zh-CN"/>
        </w:rPr>
      </w:pPr>
      <w:r>
        <w:rPr>
          <w:rFonts w:hint="eastAsia" w:ascii="宋体" w:hAnsi="宋体"/>
          <w:sz w:val="24"/>
          <w:highlight w:val="none"/>
          <w:lang w:val="en-US" w:eastAsia="zh-CN"/>
        </w:rPr>
        <w:t>▲测量取样框大小及位置可调，可显示剪切波传播的速度图(m/s)和组织的弹性图(kPa)</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zh-CN" w:eastAsia="zh-CN"/>
        </w:rPr>
      </w:pPr>
      <w:r>
        <w:rPr>
          <w:rFonts w:hint="eastAsia" w:ascii="宋体" w:hAnsi="宋体"/>
          <w:sz w:val="24"/>
          <w:highlight w:val="none"/>
          <w:lang w:val="en-US" w:eastAsia="zh-CN"/>
        </w:rPr>
        <w:t>具备</w:t>
      </w:r>
      <w:r>
        <w:rPr>
          <w:rFonts w:hint="eastAsia" w:ascii="宋体" w:hAnsi="宋体"/>
          <w:sz w:val="24"/>
          <w:highlight w:val="none"/>
          <w:lang w:val="zh-CN" w:eastAsia="zh-CN"/>
        </w:rPr>
        <w:t>弹性</w:t>
      </w:r>
      <w:r>
        <w:rPr>
          <w:rFonts w:hint="eastAsia" w:ascii="宋体" w:hAnsi="宋体"/>
          <w:sz w:val="24"/>
          <w:highlight w:val="none"/>
          <w:lang w:val="en-US" w:eastAsia="zh-CN"/>
        </w:rPr>
        <w:t>剪切波</w:t>
      </w:r>
      <w:r>
        <w:rPr>
          <w:rFonts w:hint="eastAsia" w:ascii="宋体" w:hAnsi="宋体"/>
          <w:sz w:val="24"/>
          <w:highlight w:val="none"/>
          <w:lang w:val="zh-CN" w:eastAsia="zh-CN"/>
        </w:rPr>
        <w:t>成像功能（</w:t>
      </w:r>
      <w:r>
        <w:rPr>
          <w:rFonts w:hint="eastAsia" w:ascii="宋体" w:hAnsi="宋体"/>
          <w:sz w:val="24"/>
          <w:highlight w:val="none"/>
          <w:lang w:val="en-US" w:eastAsia="zh-CN"/>
        </w:rPr>
        <w:t>腹部</w:t>
      </w:r>
      <w:r>
        <w:rPr>
          <w:rFonts w:hint="eastAsia" w:ascii="宋体" w:hAnsi="宋体"/>
          <w:sz w:val="24"/>
          <w:highlight w:val="none"/>
          <w:lang w:val="zh-CN" w:eastAsia="zh-CN"/>
        </w:rPr>
        <w:t>）</w:t>
      </w:r>
    </w:p>
    <w:p>
      <w:pPr>
        <w:pStyle w:val="48"/>
        <w:numPr>
          <w:ilvl w:val="2"/>
          <w:numId w:val="3"/>
        </w:numPr>
        <w:tabs>
          <w:tab w:val="left" w:pos="993"/>
        </w:tabs>
        <w:spacing w:line="360" w:lineRule="auto"/>
        <w:ind w:left="0" w:leftChars="0" w:firstLine="851" w:firstLineChars="0"/>
        <w:rPr>
          <w:rFonts w:hint="eastAsia" w:ascii="宋体" w:hAnsi="宋体"/>
          <w:sz w:val="24"/>
          <w:highlight w:val="none"/>
          <w:lang w:val="zh-CN" w:eastAsia="zh-CN"/>
        </w:rPr>
      </w:pPr>
      <w:r>
        <w:rPr>
          <w:rFonts w:hint="eastAsia" w:ascii="宋体" w:hAnsi="宋体"/>
          <w:sz w:val="24"/>
          <w:highlight w:val="none"/>
          <w:lang w:val="en-US" w:eastAsia="zh-CN"/>
        </w:rPr>
        <w:t>▲具备</w:t>
      </w:r>
      <w:r>
        <w:rPr>
          <w:rFonts w:hint="eastAsia" w:ascii="宋体" w:hAnsi="宋体"/>
          <w:sz w:val="24"/>
          <w:highlight w:val="none"/>
          <w:lang w:val="zh-CN" w:eastAsia="zh-CN"/>
        </w:rPr>
        <w:t>造影成像功能</w:t>
      </w:r>
    </w:p>
    <w:p>
      <w:pPr>
        <w:pStyle w:val="48"/>
        <w:numPr>
          <w:ilvl w:val="2"/>
          <w:numId w:val="3"/>
        </w:numPr>
        <w:tabs>
          <w:tab w:val="left" w:pos="993"/>
        </w:tabs>
        <w:spacing w:line="360" w:lineRule="auto"/>
        <w:ind w:left="0" w:leftChars="0" w:firstLine="851" w:firstLineChars="0"/>
        <w:jc w:val="both"/>
        <w:rPr>
          <w:rFonts w:hint="eastAsia" w:ascii="宋体" w:hAnsi="宋体"/>
          <w:sz w:val="24"/>
          <w:highlight w:val="none"/>
          <w:lang w:val="en-US" w:eastAsia="zh-CN"/>
        </w:rPr>
      </w:pPr>
      <w:r>
        <w:rPr>
          <w:rFonts w:hint="eastAsia" w:ascii="宋体" w:hAnsi="宋体"/>
          <w:sz w:val="24"/>
          <w:highlight w:val="none"/>
          <w:lang w:val="en-US" w:eastAsia="zh-CN"/>
        </w:rPr>
        <w:t>▲具备人工智能自动测量及识别功能或产科自动测量</w:t>
      </w:r>
    </w:p>
    <w:p>
      <w:pPr>
        <w:pStyle w:val="48"/>
        <w:widowControl/>
        <w:numPr>
          <w:ilvl w:val="1"/>
          <w:numId w:val="3"/>
        </w:numPr>
        <w:tabs>
          <w:tab w:val="left" w:pos="993"/>
        </w:tabs>
        <w:spacing w:line="360" w:lineRule="auto"/>
        <w:ind w:left="0" w:leftChars="0" w:firstLine="85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实时剪切波弹性定量技术或支持腔内剪切波弹性成像功能或腹部剪切波有效检查深度≥14cm。</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w:t>
      </w:r>
      <w:r>
        <w:rPr>
          <w:rFonts w:hint="eastAsia" w:ascii="宋体" w:hAnsi="宋体" w:eastAsia="宋体" w:cs="宋体"/>
          <w:b w:val="0"/>
          <w:bCs/>
          <w:color w:val="auto"/>
          <w:sz w:val="24"/>
          <w:szCs w:val="24"/>
          <w:highlight w:val="none"/>
        </w:rPr>
        <w:t>。</w:t>
      </w:r>
      <w:r>
        <w:rPr>
          <w:rFonts w:hint="eastAsia" w:ascii="宋体" w:hAnsi="宋体" w:eastAsia="宋体" w:cs="宋体"/>
          <w:b w:val="0"/>
          <w:bCs/>
          <w:sz w:val="24"/>
          <w:szCs w:val="24"/>
          <w:highlight w:val="none"/>
          <w:lang w:val="en-US" w:eastAsia="zh-CN"/>
        </w:rPr>
        <w:t>）</w:t>
      </w:r>
    </w:p>
    <w:p>
      <w:pPr>
        <w:pStyle w:val="48"/>
        <w:widowControl/>
        <w:numPr>
          <w:ilvl w:val="1"/>
          <w:numId w:val="3"/>
        </w:numPr>
        <w:tabs>
          <w:tab w:val="left" w:pos="993"/>
        </w:tabs>
        <w:spacing w:line="360" w:lineRule="auto"/>
        <w:ind w:left="0" w:leftChars="0" w:firstLine="85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腹部凸阵探头有效最大探测深度≥55cm或可配备一凸一线双平面探头或可以高清显示超微细血流及超低速血流信号。</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w:t>
      </w:r>
      <w:r>
        <w:rPr>
          <w:rFonts w:hint="eastAsia" w:ascii="宋体" w:hAnsi="宋体" w:eastAsia="宋体" w:cs="宋体"/>
          <w:b w:val="0"/>
          <w:bCs/>
          <w:color w:val="auto"/>
          <w:sz w:val="24"/>
          <w:szCs w:val="24"/>
          <w:highlight w:val="none"/>
        </w:rPr>
        <w:t>。</w:t>
      </w:r>
      <w:r>
        <w:rPr>
          <w:rFonts w:hint="eastAsia" w:ascii="宋体" w:hAnsi="宋体" w:eastAsia="宋体" w:cs="宋体"/>
          <w:b w:val="0"/>
          <w:bCs/>
          <w:sz w:val="24"/>
          <w:szCs w:val="24"/>
          <w:highlight w:val="none"/>
          <w:lang w:val="en-US" w:eastAsia="zh-CN"/>
        </w:rPr>
        <w:t>）</w:t>
      </w:r>
    </w:p>
    <w:p>
      <w:pPr>
        <w:pStyle w:val="48"/>
        <w:widowControl/>
        <w:numPr>
          <w:ilvl w:val="1"/>
          <w:numId w:val="3"/>
        </w:numPr>
        <w:tabs>
          <w:tab w:val="left" w:pos="993"/>
        </w:tabs>
        <w:spacing w:line="360" w:lineRule="auto"/>
        <w:ind w:left="0" w:leftChars="0" w:firstLine="850"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自适应核磁像素图像优化技术或支持频谱实时优化、智能选取功能或高级图像增强优化技术。</w:t>
      </w:r>
      <w:r>
        <w:rPr>
          <w:rFonts w:hint="eastAsia" w:ascii="宋体" w:hAnsi="宋体" w:eastAsia="宋体" w:cs="宋体"/>
          <w:b w:val="0"/>
          <w:bCs/>
          <w:sz w:val="24"/>
          <w:szCs w:val="24"/>
          <w:highlight w:val="none"/>
          <w:lang w:val="en-US" w:eastAsia="zh-CN"/>
        </w:rPr>
        <w:t>（</w:t>
      </w:r>
      <w:r>
        <w:rPr>
          <w:rFonts w:hint="eastAsia" w:ascii="宋体" w:hAnsi="宋体" w:eastAsia="宋体" w:cs="宋体"/>
          <w:b w:val="0"/>
          <w:bCs/>
          <w:color w:val="auto"/>
          <w:sz w:val="24"/>
          <w:szCs w:val="24"/>
          <w:highlight w:val="none"/>
          <w:lang w:eastAsia="zh-CN"/>
        </w:rPr>
        <w:t>投标人须提供国家认可的第三方检验（检测）机构出具的相应报告佐证（报告需加盖检验检测专用章，并标注资质认定标志CMA或CNAS），或提供产品官方网站查询技术参数截图（并注明查询网址链接）佐证，或提供产品官方彩页佐证，或提供产品样本佐证，或提供技术说明书佐证</w:t>
      </w:r>
      <w:r>
        <w:rPr>
          <w:rFonts w:hint="eastAsia" w:ascii="宋体" w:hAnsi="宋体" w:eastAsia="宋体" w:cs="宋体"/>
          <w:b w:val="0"/>
          <w:bCs/>
          <w:color w:val="auto"/>
          <w:sz w:val="24"/>
          <w:szCs w:val="24"/>
          <w:highlight w:val="none"/>
        </w:rPr>
        <w:t>。</w:t>
      </w:r>
      <w:r>
        <w:rPr>
          <w:rFonts w:hint="eastAsia" w:ascii="宋体" w:hAnsi="宋体" w:eastAsia="宋体" w:cs="宋体"/>
          <w:b w:val="0"/>
          <w:bCs/>
          <w:sz w:val="24"/>
          <w:szCs w:val="24"/>
          <w:highlight w:val="none"/>
          <w:lang w:val="en-US" w:eastAsia="zh-CN"/>
        </w:rPr>
        <w:t>）</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▲具备一体化融合影像介入导航系统：一体化融合影像及介入导航功能，在主机上可以把CT/MR/PET CT/3DUS上获得的数据与实时超声图像融合。 数据可以通过PACS系统以DICOM 格式，也可以通过DVD或U盘输入到超声系统，对多种成像形式显示的病灶进行直接对比。并具备监视追踪定位功能，以达到对最佳穿刺角度的追踪定位来引导介入手术的完成。</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▲增益调节：TGC增益补偿≥8 段，LGC侧向增益补偿≥4 段，B/M 可独立调节。</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▲自适应核磁像素优化技术，改善边界显示，提高分辨率，减少伪像，支持所有成像探头，可分级调节≥5级。</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▲具备相交互两个平面同屏同时相实时成像技术</w:t>
      </w:r>
    </w:p>
    <w:p>
      <w:pPr>
        <w:pStyle w:val="48"/>
        <w:widowControl/>
        <w:numPr>
          <w:ilvl w:val="0"/>
          <w:numId w:val="0"/>
        </w:numPr>
        <w:tabs>
          <w:tab w:val="left" w:pos="993"/>
        </w:tabs>
        <w:spacing w:line="360" w:lineRule="auto"/>
        <w:ind w:leftChars="20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①</w:t>
      </w:r>
      <w:r>
        <w:rPr>
          <w:rFonts w:hint="eastAsia" w:ascii="宋体" w:hAnsi="宋体" w:eastAsia="宋体" w:cs="宋体"/>
          <w:b w:val="0"/>
          <w:bCs/>
          <w:sz w:val="24"/>
          <w:szCs w:val="24"/>
          <w:highlight w:val="none"/>
        </w:rPr>
        <w:t>支持矩阵探头</w:t>
      </w:r>
    </w:p>
    <w:p>
      <w:pPr>
        <w:pStyle w:val="48"/>
        <w:widowControl/>
        <w:numPr>
          <w:ilvl w:val="0"/>
          <w:numId w:val="0"/>
        </w:numPr>
        <w:tabs>
          <w:tab w:val="left" w:pos="993"/>
        </w:tabs>
        <w:spacing w:line="360" w:lineRule="auto"/>
        <w:ind w:leftChars="20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②</w:t>
      </w:r>
      <w:r>
        <w:rPr>
          <w:rFonts w:hint="eastAsia" w:ascii="宋体" w:hAnsi="宋体" w:eastAsia="宋体" w:cs="宋体"/>
          <w:b w:val="0"/>
          <w:bCs/>
          <w:sz w:val="24"/>
          <w:szCs w:val="24"/>
          <w:highlight w:val="none"/>
        </w:rPr>
        <w:t>移动轨迹球可以同屏显示任意夹角的两幅实时图像</w:t>
      </w:r>
    </w:p>
    <w:p>
      <w:pPr>
        <w:pStyle w:val="48"/>
        <w:widowControl/>
        <w:numPr>
          <w:ilvl w:val="0"/>
          <w:numId w:val="0"/>
        </w:numPr>
        <w:tabs>
          <w:tab w:val="left" w:pos="993"/>
        </w:tabs>
        <w:spacing w:line="360" w:lineRule="auto"/>
        <w:ind w:leftChars="20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③</w:t>
      </w:r>
      <w:r>
        <w:rPr>
          <w:rFonts w:hint="eastAsia" w:ascii="宋体" w:hAnsi="宋体" w:eastAsia="宋体" w:cs="宋体"/>
          <w:b w:val="0"/>
          <w:bCs/>
          <w:sz w:val="24"/>
          <w:szCs w:val="24"/>
          <w:highlight w:val="none"/>
        </w:rPr>
        <w:t>支持灰阶及彩色模式</w:t>
      </w:r>
    </w:p>
    <w:p>
      <w:pPr>
        <w:pStyle w:val="48"/>
        <w:widowControl/>
        <w:numPr>
          <w:ilvl w:val="0"/>
          <w:numId w:val="0"/>
        </w:numPr>
        <w:tabs>
          <w:tab w:val="left" w:pos="993"/>
        </w:tabs>
        <w:spacing w:line="360" w:lineRule="auto"/>
        <w:ind w:leftChars="20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④</w:t>
      </w:r>
      <w:r>
        <w:rPr>
          <w:rFonts w:hint="eastAsia" w:ascii="宋体" w:hAnsi="宋体" w:eastAsia="宋体" w:cs="宋体"/>
          <w:b w:val="0"/>
          <w:bCs/>
          <w:sz w:val="24"/>
          <w:szCs w:val="24"/>
          <w:highlight w:val="none"/>
        </w:rPr>
        <w:t>支持造影模式</w:t>
      </w:r>
    </w:p>
    <w:p>
      <w:pPr>
        <w:pStyle w:val="48"/>
        <w:widowControl/>
        <w:numPr>
          <w:ilvl w:val="0"/>
          <w:numId w:val="0"/>
        </w:numPr>
        <w:tabs>
          <w:tab w:val="left" w:pos="993"/>
        </w:tabs>
        <w:spacing w:line="360" w:lineRule="auto"/>
        <w:ind w:leftChars="20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⑤</w:t>
      </w:r>
      <w:r>
        <w:rPr>
          <w:rFonts w:hint="eastAsia" w:ascii="宋体" w:hAnsi="宋体" w:eastAsia="宋体" w:cs="宋体"/>
          <w:b w:val="0"/>
          <w:bCs/>
          <w:sz w:val="24"/>
          <w:szCs w:val="24"/>
          <w:highlight w:val="none"/>
        </w:rPr>
        <w:t>造影图像可分别进行定量分析并可进行整合</w:t>
      </w:r>
    </w:p>
    <w:p>
      <w:pPr>
        <w:pStyle w:val="48"/>
        <w:widowControl/>
        <w:numPr>
          <w:ilvl w:val="0"/>
          <w:numId w:val="0"/>
        </w:numPr>
        <w:tabs>
          <w:tab w:val="left" w:pos="993"/>
        </w:tabs>
        <w:spacing w:line="360" w:lineRule="auto"/>
        <w:ind w:leftChars="200"/>
        <w:jc w:val="left"/>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val="en-US" w:eastAsia="zh-CN"/>
        </w:rPr>
        <w:t>⑥</w:t>
      </w:r>
      <w:r>
        <w:rPr>
          <w:rFonts w:hint="eastAsia" w:ascii="宋体" w:hAnsi="宋体" w:eastAsia="宋体" w:cs="宋体"/>
          <w:b w:val="0"/>
          <w:bCs/>
          <w:sz w:val="24"/>
          <w:szCs w:val="24"/>
          <w:highlight w:val="none"/>
        </w:rPr>
        <w:t>造影图像均可进行微血管成像</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▲术者模式，可实时双屏显示，主屏幕与触摸屏实时同步显示扫描图像。</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▲高帧率造影成像，要求支持腹部探头、浅表探头；凸阵探头10cm深度，扫描角度45°，帧率可达30帧/秒及以上；线阵探头4cm深度，帧率可50帧/秒及以上。</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▲应变式弹性成像，具备组织硬度定量分析软件、压力曲线提示图标，直方图等分析工具，具备肿块周边组织与正常组织、肿块周边组织与肿块内组织弹性定量分析功能。</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▲剪切波定量式弹性成像功能，可以动态显示二维剪切波弹性成像图，具备三种定量参数，包括剪切波速度，杨氏模量和剪切模量。</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▲支持自动肝肾比测量，自动计算肝脏与肾皮层灰阶比值，一键识别肝肾组织。</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▲支持小儿髋关节自动测量功能，可自动计算α角,β角，自动进行临床分型。</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▲手势感应探头技术，探头内置多点触控传感器，双击探头前端任何部位，即可激活探头进入扫查，无需在触摸屏上切换。</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▲腹部剪切波有效检查深度≥14cm。剪切波测量取样框大小及位置可调，取样点数量无限制，可显示剪切波传播的速度图(m/s)和组织的弹性图(kPa)。</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具备血管数字减影技术，有效减少大血管及微细血管结构的噪声，提供更为清晰的血管壁定义和组织边界检测。增强深部血管和小血管管壁、管腔、血管内膜等结构的显示能力，可用于周围血管、浅表组织及胎心检查等，并支持≥5级可调。</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▲支持频谱实时优化、智能选取功能：冻结后可自动优化并自动选取最佳频谱，同时完成包络及频谱测量功能。</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超声造影成像技术：具备低机械指数和中等机械指数两种选择模式，具备爆破后再灌注显像技术，支持造影剂二次注射，有2个独立造影计时器。采用声诺维造影剂进行造影时，造影剂有效显示时间≥8分钟，造影功能支持相控阵、凸阵、线阵、腔内探头。</w:t>
      </w:r>
    </w:p>
    <w:p>
      <w:pPr>
        <w:pStyle w:val="48"/>
        <w:widowControl/>
        <w:numPr>
          <w:ilvl w:val="1"/>
          <w:numId w:val="3"/>
        </w:numPr>
        <w:tabs>
          <w:tab w:val="left" w:pos="993"/>
        </w:tabs>
        <w:spacing w:line="360" w:lineRule="auto"/>
        <w:ind w:left="-420" w:leftChars="0" w:firstLine="851" w:firstLineChars="0"/>
        <w:jc w:val="left"/>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单台配置清单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2010"/>
        <w:gridCol w:w="272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noWrap w:val="0"/>
            <w:vAlign w:val="center"/>
          </w:tcPr>
          <w:p>
            <w:pPr>
              <w:pStyle w:val="48"/>
              <w:widowControl/>
              <w:numPr>
                <w:ilvl w:val="0"/>
                <w:numId w:val="0"/>
              </w:numPr>
              <w:tabs>
                <w:tab w:val="left" w:pos="993"/>
              </w:tabs>
              <w:spacing w:line="360" w:lineRule="auto"/>
              <w:jc w:val="center"/>
              <w:rPr>
                <w:rFonts w:hint="default"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序号</w:t>
            </w:r>
          </w:p>
        </w:tc>
        <w:tc>
          <w:tcPr>
            <w:tcW w:w="4730" w:type="dxa"/>
            <w:gridSpan w:val="2"/>
            <w:noWrap w:val="0"/>
            <w:vAlign w:val="center"/>
          </w:tcPr>
          <w:p>
            <w:pPr>
              <w:pStyle w:val="48"/>
              <w:widowControl/>
              <w:numPr>
                <w:ilvl w:val="0"/>
                <w:numId w:val="0"/>
              </w:numPr>
              <w:tabs>
                <w:tab w:val="left" w:pos="993"/>
              </w:tabs>
              <w:spacing w:line="360" w:lineRule="auto"/>
              <w:jc w:val="center"/>
              <w:rPr>
                <w:rFonts w:hint="default"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配置产品名称</w:t>
            </w:r>
          </w:p>
        </w:tc>
        <w:tc>
          <w:tcPr>
            <w:tcW w:w="2268" w:type="dxa"/>
            <w:noWrap w:val="0"/>
            <w:vAlign w:val="center"/>
          </w:tcPr>
          <w:p>
            <w:pPr>
              <w:pStyle w:val="48"/>
              <w:widowControl/>
              <w:numPr>
                <w:ilvl w:val="0"/>
                <w:numId w:val="0"/>
              </w:numPr>
              <w:tabs>
                <w:tab w:val="left" w:pos="993"/>
              </w:tabs>
              <w:spacing w:line="360" w:lineRule="auto"/>
              <w:jc w:val="center"/>
              <w:rPr>
                <w:rFonts w:hint="default"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noWrap w:val="0"/>
            <w:vAlign w:val="center"/>
          </w:tcPr>
          <w:p>
            <w:pPr>
              <w:pStyle w:val="48"/>
              <w:widowControl/>
              <w:numPr>
                <w:ilvl w:val="0"/>
                <w:numId w:val="0"/>
              </w:numPr>
              <w:tabs>
                <w:tab w:val="left" w:pos="993"/>
              </w:tabs>
              <w:spacing w:line="360" w:lineRule="auto"/>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1</w:t>
            </w:r>
          </w:p>
        </w:tc>
        <w:tc>
          <w:tcPr>
            <w:tcW w:w="4730" w:type="dxa"/>
            <w:gridSpan w:val="2"/>
            <w:noWrap w:val="0"/>
            <w:vAlign w:val="center"/>
          </w:tcPr>
          <w:p>
            <w:pPr>
              <w:pStyle w:val="48"/>
              <w:widowControl/>
              <w:numPr>
                <w:ilvl w:val="0"/>
                <w:numId w:val="0"/>
              </w:numPr>
              <w:tabs>
                <w:tab w:val="left" w:pos="993"/>
              </w:tabs>
              <w:spacing w:line="360" w:lineRule="auto"/>
              <w:jc w:val="center"/>
              <w:rPr>
                <w:rFonts w:hint="eastAsia" w:ascii="宋体" w:hAnsi="宋体" w:eastAsia="宋体" w:cs="宋体"/>
                <w:b w:val="0"/>
                <w:bCs/>
                <w:sz w:val="24"/>
                <w:szCs w:val="24"/>
                <w:highlight w:val="none"/>
                <w:vertAlign w:val="baseline"/>
                <w:lang w:val="en-US" w:eastAsia="zh-CN"/>
              </w:rPr>
            </w:pPr>
            <w:r>
              <w:rPr>
                <w:rFonts w:hint="eastAsia" w:ascii="仿宋" w:hAnsi="仿宋" w:eastAsia="仿宋" w:cs="仿宋"/>
                <w:color w:val="auto"/>
                <w:sz w:val="28"/>
                <w:szCs w:val="28"/>
                <w:highlight w:val="none"/>
                <w:lang w:val="en-US" w:eastAsia="zh-CN"/>
              </w:rPr>
              <w:t>主机</w:t>
            </w:r>
          </w:p>
        </w:tc>
        <w:tc>
          <w:tcPr>
            <w:tcW w:w="2268" w:type="dxa"/>
            <w:noWrap w:val="0"/>
            <w:vAlign w:val="center"/>
          </w:tcPr>
          <w:p>
            <w:pPr>
              <w:pStyle w:val="48"/>
              <w:widowControl/>
              <w:numPr>
                <w:ilvl w:val="0"/>
                <w:numId w:val="0"/>
              </w:numPr>
              <w:tabs>
                <w:tab w:val="left" w:pos="993"/>
              </w:tabs>
              <w:spacing w:line="360" w:lineRule="auto"/>
              <w:jc w:val="center"/>
              <w:rPr>
                <w:rFonts w:hint="eastAsia" w:ascii="宋体" w:hAnsi="宋体" w:eastAsia="宋体" w:cs="宋体"/>
                <w:b w:val="0"/>
                <w:bCs/>
                <w:sz w:val="24"/>
                <w:szCs w:val="24"/>
                <w:highlight w:val="none"/>
                <w:vertAlign w:val="baseline"/>
                <w:lang w:val="en-US" w:eastAsia="zh-CN"/>
              </w:rPr>
            </w:pPr>
            <w:r>
              <w:rPr>
                <w:rFonts w:hint="eastAsia" w:ascii="仿宋" w:hAnsi="仿宋" w:eastAsia="仿宋" w:cs="仿宋"/>
                <w:color w:val="auto"/>
                <w:sz w:val="28"/>
                <w:szCs w:val="28"/>
                <w:highlight w:val="none"/>
                <w:lang w:val="en-US" w:eastAsia="zh-CN"/>
              </w:rPr>
              <w:t xml:space="preserve"> 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noWrap w:val="0"/>
            <w:vAlign w:val="center"/>
          </w:tcPr>
          <w:p>
            <w:pPr>
              <w:pStyle w:val="48"/>
              <w:widowControl/>
              <w:numPr>
                <w:ilvl w:val="0"/>
                <w:numId w:val="0"/>
              </w:numPr>
              <w:tabs>
                <w:tab w:val="left" w:pos="993"/>
              </w:tabs>
              <w:spacing w:line="360" w:lineRule="auto"/>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2</w:t>
            </w:r>
          </w:p>
        </w:tc>
        <w:tc>
          <w:tcPr>
            <w:tcW w:w="2010" w:type="dxa"/>
            <w:vMerge w:val="restart"/>
            <w:noWrap w:val="0"/>
            <w:vAlign w:val="center"/>
          </w:tcPr>
          <w:p>
            <w:pPr>
              <w:pStyle w:val="48"/>
              <w:widowControl/>
              <w:numPr>
                <w:ilvl w:val="0"/>
                <w:numId w:val="0"/>
              </w:numPr>
              <w:tabs>
                <w:tab w:val="left" w:pos="993"/>
              </w:tabs>
              <w:spacing w:line="360" w:lineRule="auto"/>
              <w:jc w:val="center"/>
              <w:rPr>
                <w:rFonts w:hint="eastAsia" w:ascii="宋体" w:hAnsi="宋体" w:eastAsia="宋体" w:cs="宋体"/>
                <w:b w:val="0"/>
                <w:bCs/>
                <w:sz w:val="24"/>
                <w:szCs w:val="24"/>
                <w:highlight w:val="none"/>
                <w:vertAlign w:val="baseline"/>
                <w:lang w:val="en-US" w:eastAsia="zh-CN"/>
              </w:rPr>
            </w:pPr>
            <w:r>
              <w:rPr>
                <w:rFonts w:hint="eastAsia" w:ascii="仿宋" w:hAnsi="仿宋" w:eastAsia="仿宋" w:cs="仿宋"/>
                <w:color w:val="auto"/>
                <w:sz w:val="28"/>
                <w:szCs w:val="28"/>
                <w:highlight w:val="none"/>
              </w:rPr>
              <w:t>探头</w:t>
            </w:r>
          </w:p>
        </w:tc>
        <w:tc>
          <w:tcPr>
            <w:tcW w:w="2720" w:type="dxa"/>
            <w:noWrap w:val="0"/>
            <w:vAlign w:val="center"/>
          </w:tcPr>
          <w:p>
            <w:pPr>
              <w:pStyle w:val="48"/>
              <w:widowControl/>
              <w:numPr>
                <w:ilvl w:val="0"/>
                <w:numId w:val="0"/>
              </w:numPr>
              <w:tabs>
                <w:tab w:val="left" w:pos="993"/>
              </w:tabs>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单晶体凸阵探头</w:t>
            </w:r>
          </w:p>
        </w:tc>
        <w:tc>
          <w:tcPr>
            <w:tcW w:w="2268" w:type="dxa"/>
            <w:noWrap w:val="0"/>
            <w:vAlign w:val="center"/>
          </w:tcPr>
          <w:p>
            <w:pPr>
              <w:pStyle w:val="48"/>
              <w:widowControl/>
              <w:numPr>
                <w:ilvl w:val="0"/>
                <w:numId w:val="0"/>
              </w:numPr>
              <w:tabs>
                <w:tab w:val="left" w:pos="993"/>
              </w:tabs>
              <w:spacing w:line="360" w:lineRule="auto"/>
              <w:jc w:val="center"/>
              <w:rPr>
                <w:rFonts w:hint="eastAsia" w:ascii="宋体" w:hAnsi="宋体" w:eastAsia="宋体" w:cs="宋体"/>
                <w:b w:val="0"/>
                <w:bCs/>
                <w:sz w:val="24"/>
                <w:szCs w:val="24"/>
                <w:highlight w:val="none"/>
                <w:vertAlign w:val="baseline"/>
                <w:lang w:val="en-US" w:eastAsia="zh-CN"/>
              </w:rPr>
            </w:pPr>
            <w:r>
              <w:rPr>
                <w:rFonts w:hint="eastAsia" w:ascii="仿宋" w:hAnsi="仿宋" w:eastAsia="仿宋" w:cs="仿宋"/>
                <w:color w:val="auto"/>
                <w:sz w:val="28"/>
                <w:szCs w:val="28"/>
                <w:highlight w:val="none"/>
                <w:lang w:val="en-US" w:eastAsia="zh-CN"/>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noWrap w:val="0"/>
            <w:vAlign w:val="center"/>
          </w:tcPr>
          <w:p>
            <w:pPr>
              <w:pStyle w:val="48"/>
              <w:widowControl/>
              <w:numPr>
                <w:ilvl w:val="0"/>
                <w:numId w:val="0"/>
              </w:numPr>
              <w:tabs>
                <w:tab w:val="left" w:pos="993"/>
              </w:tabs>
              <w:spacing w:line="360" w:lineRule="auto"/>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3</w:t>
            </w:r>
          </w:p>
        </w:tc>
        <w:tc>
          <w:tcPr>
            <w:tcW w:w="2010" w:type="dxa"/>
            <w:vMerge w:val="continue"/>
            <w:noWrap w:val="0"/>
            <w:vAlign w:val="center"/>
          </w:tcPr>
          <w:p>
            <w:pPr>
              <w:pStyle w:val="48"/>
              <w:widowControl/>
              <w:numPr>
                <w:ilvl w:val="0"/>
                <w:numId w:val="0"/>
              </w:numPr>
              <w:tabs>
                <w:tab w:val="left" w:pos="993"/>
              </w:tabs>
              <w:spacing w:line="360" w:lineRule="auto"/>
              <w:jc w:val="center"/>
              <w:rPr>
                <w:rFonts w:hint="eastAsia" w:ascii="仿宋" w:hAnsi="仿宋" w:eastAsia="仿宋" w:cs="仿宋"/>
                <w:color w:val="auto"/>
                <w:sz w:val="28"/>
                <w:szCs w:val="28"/>
                <w:highlight w:val="none"/>
              </w:rPr>
            </w:pPr>
          </w:p>
        </w:tc>
        <w:tc>
          <w:tcPr>
            <w:tcW w:w="2720"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血管线阵</w:t>
            </w:r>
          </w:p>
        </w:tc>
        <w:tc>
          <w:tcPr>
            <w:tcW w:w="2268" w:type="dxa"/>
            <w:noWrap w:val="0"/>
            <w:vAlign w:val="center"/>
          </w:tcPr>
          <w:p>
            <w:pPr>
              <w:pStyle w:val="48"/>
              <w:widowControl/>
              <w:numPr>
                <w:ilvl w:val="0"/>
                <w:numId w:val="0"/>
              </w:numPr>
              <w:tabs>
                <w:tab w:val="left" w:pos="993"/>
              </w:tabs>
              <w:spacing w:line="360" w:lineRule="auto"/>
              <w:jc w:val="center"/>
              <w:rPr>
                <w:rFonts w:hint="eastAsia" w:ascii="宋体" w:hAnsi="宋体" w:eastAsia="宋体" w:cs="宋体"/>
                <w:b w:val="0"/>
                <w:bCs/>
                <w:sz w:val="24"/>
                <w:szCs w:val="24"/>
                <w:highlight w:val="none"/>
                <w:vertAlign w:val="baseline"/>
                <w:lang w:val="en-US" w:eastAsia="zh-CN"/>
              </w:rPr>
            </w:pPr>
            <w:r>
              <w:rPr>
                <w:rFonts w:hint="eastAsia" w:ascii="仿宋" w:hAnsi="仿宋" w:eastAsia="仿宋" w:cs="仿宋"/>
                <w:color w:val="auto"/>
                <w:sz w:val="28"/>
                <w:szCs w:val="28"/>
                <w:highlight w:val="none"/>
                <w:lang w:val="en-US" w:eastAsia="zh-CN"/>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noWrap w:val="0"/>
            <w:vAlign w:val="center"/>
          </w:tcPr>
          <w:p>
            <w:pPr>
              <w:pStyle w:val="48"/>
              <w:widowControl/>
              <w:numPr>
                <w:ilvl w:val="0"/>
                <w:numId w:val="0"/>
              </w:numPr>
              <w:tabs>
                <w:tab w:val="left" w:pos="993"/>
              </w:tabs>
              <w:spacing w:line="360" w:lineRule="auto"/>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4</w:t>
            </w:r>
          </w:p>
        </w:tc>
        <w:tc>
          <w:tcPr>
            <w:tcW w:w="2010" w:type="dxa"/>
            <w:vMerge w:val="continue"/>
            <w:noWrap w:val="0"/>
            <w:vAlign w:val="center"/>
          </w:tcPr>
          <w:p>
            <w:pPr>
              <w:pStyle w:val="48"/>
              <w:widowControl/>
              <w:numPr>
                <w:ilvl w:val="0"/>
                <w:numId w:val="0"/>
              </w:numPr>
              <w:tabs>
                <w:tab w:val="left" w:pos="993"/>
              </w:tabs>
              <w:spacing w:line="360" w:lineRule="auto"/>
              <w:jc w:val="center"/>
              <w:rPr>
                <w:rFonts w:hint="eastAsia" w:ascii="仿宋" w:hAnsi="仿宋" w:eastAsia="仿宋" w:cs="仿宋"/>
                <w:color w:val="auto"/>
                <w:sz w:val="28"/>
                <w:szCs w:val="28"/>
                <w:highlight w:val="none"/>
              </w:rPr>
            </w:pPr>
          </w:p>
        </w:tc>
        <w:tc>
          <w:tcPr>
            <w:tcW w:w="2720" w:type="dxa"/>
            <w:noWrap w:val="0"/>
            <w:vAlign w:val="center"/>
          </w:tcPr>
          <w:p>
            <w:pPr>
              <w:pStyle w:val="48"/>
              <w:widowControl/>
              <w:numPr>
                <w:ilvl w:val="0"/>
                <w:numId w:val="0"/>
              </w:numPr>
              <w:tabs>
                <w:tab w:val="left" w:pos="993"/>
              </w:tabs>
              <w:spacing w:line="360" w:lineRule="auto"/>
              <w:ind w:left="0" w:leftChars="0" w:firstLine="0" w:firstLineChars="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高频线阵探头</w:t>
            </w:r>
          </w:p>
        </w:tc>
        <w:tc>
          <w:tcPr>
            <w:tcW w:w="2268" w:type="dxa"/>
            <w:noWrap w:val="0"/>
            <w:vAlign w:val="center"/>
          </w:tcPr>
          <w:p>
            <w:pPr>
              <w:pStyle w:val="48"/>
              <w:widowControl/>
              <w:numPr>
                <w:ilvl w:val="0"/>
                <w:numId w:val="0"/>
              </w:numPr>
              <w:tabs>
                <w:tab w:val="left" w:pos="993"/>
              </w:tabs>
              <w:spacing w:line="360" w:lineRule="auto"/>
              <w:jc w:val="center"/>
              <w:rPr>
                <w:rFonts w:hint="eastAsia" w:ascii="宋体" w:hAnsi="宋体" w:eastAsia="宋体" w:cs="宋体"/>
                <w:b w:val="0"/>
                <w:bCs/>
                <w:sz w:val="24"/>
                <w:szCs w:val="24"/>
                <w:highlight w:val="none"/>
                <w:vertAlign w:val="baseline"/>
                <w:lang w:val="en-US" w:eastAsia="zh-CN"/>
              </w:rPr>
            </w:pPr>
            <w:r>
              <w:rPr>
                <w:rFonts w:hint="eastAsia" w:ascii="仿宋" w:hAnsi="仿宋" w:eastAsia="仿宋" w:cs="仿宋"/>
                <w:color w:val="auto"/>
                <w:sz w:val="28"/>
                <w:szCs w:val="28"/>
                <w:highlight w:val="none"/>
                <w:lang w:val="en-US" w:eastAsia="zh-CN"/>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noWrap w:val="0"/>
            <w:vAlign w:val="center"/>
          </w:tcPr>
          <w:p>
            <w:pPr>
              <w:pStyle w:val="48"/>
              <w:widowControl/>
              <w:numPr>
                <w:ilvl w:val="0"/>
                <w:numId w:val="0"/>
              </w:numPr>
              <w:tabs>
                <w:tab w:val="left" w:pos="993"/>
              </w:tabs>
              <w:spacing w:line="360" w:lineRule="auto"/>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5</w:t>
            </w:r>
          </w:p>
        </w:tc>
        <w:tc>
          <w:tcPr>
            <w:tcW w:w="2010" w:type="dxa"/>
            <w:vMerge w:val="continue"/>
            <w:noWrap w:val="0"/>
            <w:vAlign w:val="center"/>
          </w:tcPr>
          <w:p>
            <w:pPr>
              <w:pStyle w:val="48"/>
              <w:widowControl/>
              <w:numPr>
                <w:ilvl w:val="0"/>
                <w:numId w:val="0"/>
              </w:numPr>
              <w:tabs>
                <w:tab w:val="left" w:pos="993"/>
              </w:tabs>
              <w:spacing w:line="360" w:lineRule="auto"/>
              <w:jc w:val="center"/>
              <w:rPr>
                <w:rFonts w:hint="eastAsia" w:ascii="仿宋" w:hAnsi="仿宋" w:eastAsia="仿宋" w:cs="仿宋"/>
                <w:color w:val="auto"/>
                <w:sz w:val="28"/>
                <w:szCs w:val="28"/>
                <w:highlight w:val="none"/>
              </w:rPr>
            </w:pPr>
          </w:p>
        </w:tc>
        <w:tc>
          <w:tcPr>
            <w:tcW w:w="2720" w:type="dxa"/>
            <w:noWrap w:val="0"/>
            <w:vAlign w:val="center"/>
          </w:tcPr>
          <w:p>
            <w:pPr>
              <w:pStyle w:val="48"/>
              <w:widowControl/>
              <w:numPr>
                <w:ilvl w:val="0"/>
                <w:numId w:val="0"/>
              </w:numPr>
              <w:tabs>
                <w:tab w:val="left" w:pos="993"/>
              </w:tabs>
              <w:spacing w:line="360" w:lineRule="auto"/>
              <w:ind w:left="0" w:leftChars="0" w:firstLine="0" w:firstLineChars="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腔内凸阵探头</w:t>
            </w:r>
            <w:r>
              <w:rPr>
                <w:rFonts w:hint="eastAsia" w:ascii="仿宋" w:hAnsi="仿宋" w:eastAsia="仿宋" w:cs="仿宋"/>
                <w:color w:val="auto"/>
                <w:sz w:val="28"/>
                <w:szCs w:val="28"/>
                <w:highlight w:val="none"/>
                <w:lang w:val="en-US" w:eastAsia="zh-CN"/>
              </w:rPr>
              <w:t xml:space="preserve"> </w:t>
            </w:r>
          </w:p>
        </w:tc>
        <w:tc>
          <w:tcPr>
            <w:tcW w:w="2268" w:type="dxa"/>
            <w:noWrap w:val="0"/>
            <w:vAlign w:val="center"/>
          </w:tcPr>
          <w:p>
            <w:pPr>
              <w:pStyle w:val="48"/>
              <w:widowControl/>
              <w:numPr>
                <w:ilvl w:val="0"/>
                <w:numId w:val="0"/>
              </w:numPr>
              <w:tabs>
                <w:tab w:val="left" w:pos="993"/>
              </w:tabs>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noWrap w:val="0"/>
            <w:vAlign w:val="center"/>
          </w:tcPr>
          <w:p>
            <w:pPr>
              <w:pStyle w:val="48"/>
              <w:widowControl/>
              <w:numPr>
                <w:ilvl w:val="0"/>
                <w:numId w:val="0"/>
              </w:numPr>
              <w:tabs>
                <w:tab w:val="left" w:pos="993"/>
              </w:tabs>
              <w:spacing w:line="360" w:lineRule="auto"/>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6</w:t>
            </w:r>
          </w:p>
        </w:tc>
        <w:tc>
          <w:tcPr>
            <w:tcW w:w="2010" w:type="dxa"/>
            <w:vMerge w:val="restart"/>
            <w:noWrap w:val="0"/>
            <w:vAlign w:val="center"/>
          </w:tcPr>
          <w:p>
            <w:pPr>
              <w:pStyle w:val="48"/>
              <w:widowControl/>
              <w:numPr>
                <w:ilvl w:val="0"/>
                <w:numId w:val="0"/>
              </w:numPr>
              <w:tabs>
                <w:tab w:val="left" w:pos="993"/>
              </w:tabs>
              <w:spacing w:line="36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外设和附件</w:t>
            </w:r>
          </w:p>
        </w:tc>
        <w:tc>
          <w:tcPr>
            <w:tcW w:w="2720" w:type="dxa"/>
            <w:noWrap w:val="0"/>
            <w:vAlign w:val="center"/>
          </w:tcPr>
          <w:p>
            <w:pPr>
              <w:pStyle w:val="48"/>
              <w:widowControl/>
              <w:numPr>
                <w:ilvl w:val="0"/>
                <w:numId w:val="0"/>
              </w:numPr>
              <w:tabs>
                <w:tab w:val="left" w:pos="993"/>
              </w:tabs>
              <w:spacing w:line="360" w:lineRule="auto"/>
              <w:ind w:left="0" w:leftChars="0"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储物托架套件</w:t>
            </w:r>
          </w:p>
        </w:tc>
        <w:tc>
          <w:tcPr>
            <w:tcW w:w="2268" w:type="dxa"/>
            <w:noWrap w:val="0"/>
            <w:vAlign w:val="center"/>
          </w:tcPr>
          <w:p>
            <w:pPr>
              <w:pStyle w:val="48"/>
              <w:widowControl/>
              <w:numPr>
                <w:ilvl w:val="0"/>
                <w:numId w:val="0"/>
              </w:numPr>
              <w:tabs>
                <w:tab w:val="left" w:pos="993"/>
              </w:tabs>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noWrap w:val="0"/>
            <w:vAlign w:val="center"/>
          </w:tcPr>
          <w:p>
            <w:pPr>
              <w:pStyle w:val="48"/>
              <w:widowControl/>
              <w:numPr>
                <w:ilvl w:val="0"/>
                <w:numId w:val="0"/>
              </w:numPr>
              <w:tabs>
                <w:tab w:val="left" w:pos="993"/>
              </w:tabs>
              <w:spacing w:line="360" w:lineRule="auto"/>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7</w:t>
            </w:r>
          </w:p>
        </w:tc>
        <w:tc>
          <w:tcPr>
            <w:tcW w:w="2010" w:type="dxa"/>
            <w:vMerge w:val="continue"/>
            <w:noWrap w:val="0"/>
            <w:vAlign w:val="center"/>
          </w:tcPr>
          <w:p>
            <w:pPr>
              <w:pStyle w:val="48"/>
              <w:widowControl/>
              <w:numPr>
                <w:ilvl w:val="0"/>
                <w:numId w:val="0"/>
              </w:numPr>
              <w:tabs>
                <w:tab w:val="left" w:pos="993"/>
              </w:tabs>
              <w:spacing w:line="360" w:lineRule="auto"/>
              <w:jc w:val="center"/>
              <w:rPr>
                <w:rFonts w:hint="eastAsia" w:ascii="仿宋" w:hAnsi="仿宋" w:eastAsia="仿宋" w:cs="仿宋"/>
                <w:color w:val="auto"/>
                <w:sz w:val="28"/>
                <w:szCs w:val="28"/>
                <w:highlight w:val="none"/>
              </w:rPr>
            </w:pPr>
          </w:p>
        </w:tc>
        <w:tc>
          <w:tcPr>
            <w:tcW w:w="2720" w:type="dxa"/>
            <w:noWrap w:val="0"/>
            <w:vAlign w:val="center"/>
          </w:tcPr>
          <w:p>
            <w:pPr>
              <w:pStyle w:val="48"/>
              <w:widowControl/>
              <w:numPr>
                <w:ilvl w:val="0"/>
                <w:numId w:val="0"/>
              </w:numPr>
              <w:tabs>
                <w:tab w:val="left" w:pos="993"/>
              </w:tabs>
              <w:spacing w:line="360" w:lineRule="auto"/>
              <w:ind w:left="0" w:leftChars="0" w:firstLine="0" w:firstLine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探头放置槽</w:t>
            </w:r>
          </w:p>
        </w:tc>
        <w:tc>
          <w:tcPr>
            <w:tcW w:w="2268" w:type="dxa"/>
            <w:noWrap w:val="0"/>
            <w:vAlign w:val="center"/>
          </w:tcPr>
          <w:p>
            <w:pPr>
              <w:pStyle w:val="48"/>
              <w:widowControl/>
              <w:numPr>
                <w:ilvl w:val="0"/>
                <w:numId w:val="0"/>
              </w:numPr>
              <w:tabs>
                <w:tab w:val="left" w:pos="993"/>
              </w:tabs>
              <w:spacing w:line="360" w:lineRule="auto"/>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noWrap w:val="0"/>
            <w:vAlign w:val="center"/>
          </w:tcPr>
          <w:p>
            <w:pPr>
              <w:pStyle w:val="48"/>
              <w:widowControl/>
              <w:numPr>
                <w:ilvl w:val="0"/>
                <w:numId w:val="0"/>
              </w:numPr>
              <w:tabs>
                <w:tab w:val="left" w:pos="993"/>
              </w:tabs>
              <w:spacing w:line="360" w:lineRule="auto"/>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8</w:t>
            </w:r>
          </w:p>
        </w:tc>
        <w:tc>
          <w:tcPr>
            <w:tcW w:w="4730" w:type="dxa"/>
            <w:gridSpan w:val="2"/>
            <w:noWrap w:val="0"/>
            <w:vAlign w:val="center"/>
          </w:tcPr>
          <w:p>
            <w:pPr>
              <w:pStyle w:val="48"/>
              <w:widowControl/>
              <w:numPr>
                <w:ilvl w:val="0"/>
                <w:numId w:val="0"/>
              </w:numPr>
              <w:tabs>
                <w:tab w:val="left" w:pos="993"/>
              </w:tabs>
              <w:spacing w:line="360" w:lineRule="auto"/>
              <w:jc w:val="center"/>
              <w:rPr>
                <w:rFonts w:hint="eastAsia" w:ascii="宋体" w:hAnsi="宋体" w:eastAsia="宋体" w:cs="宋体"/>
                <w:b w:val="0"/>
                <w:bCs/>
                <w:sz w:val="24"/>
                <w:szCs w:val="24"/>
                <w:highlight w:val="none"/>
                <w:vertAlign w:val="baseline"/>
                <w:lang w:val="en-US" w:eastAsia="zh-CN"/>
              </w:rPr>
            </w:pPr>
            <w:r>
              <w:rPr>
                <w:rFonts w:hint="eastAsia" w:ascii="仿宋" w:hAnsi="仿宋" w:eastAsia="仿宋" w:cs="仿宋"/>
                <w:color w:val="auto"/>
                <w:sz w:val="28"/>
                <w:szCs w:val="28"/>
                <w:highlight w:val="none"/>
              </w:rPr>
              <w:t>超声工作站</w:t>
            </w:r>
          </w:p>
        </w:tc>
        <w:tc>
          <w:tcPr>
            <w:tcW w:w="2268" w:type="dxa"/>
            <w:noWrap w:val="0"/>
            <w:vAlign w:val="center"/>
          </w:tcPr>
          <w:p>
            <w:pPr>
              <w:pStyle w:val="48"/>
              <w:widowControl/>
              <w:numPr>
                <w:ilvl w:val="0"/>
                <w:numId w:val="0"/>
              </w:numPr>
              <w:tabs>
                <w:tab w:val="left" w:pos="993"/>
              </w:tabs>
              <w:spacing w:line="360" w:lineRule="auto"/>
              <w:jc w:val="center"/>
              <w:rPr>
                <w:rFonts w:hint="eastAsia" w:ascii="宋体" w:hAnsi="宋体" w:eastAsia="宋体" w:cs="宋体"/>
                <w:b w:val="0"/>
                <w:bCs/>
                <w:sz w:val="24"/>
                <w:szCs w:val="24"/>
                <w:highlight w:val="none"/>
                <w:vertAlign w:val="baseline"/>
                <w:lang w:val="en-US" w:eastAsia="zh-CN"/>
              </w:rPr>
            </w:pPr>
            <w:r>
              <w:rPr>
                <w:rFonts w:hint="eastAsia" w:ascii="仿宋" w:hAnsi="仿宋" w:eastAsia="仿宋" w:cs="仿宋"/>
                <w:color w:val="auto"/>
                <w:sz w:val="28"/>
                <w:szCs w:val="28"/>
                <w:highlight w:val="no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noWrap w:val="0"/>
            <w:vAlign w:val="center"/>
          </w:tcPr>
          <w:p>
            <w:pPr>
              <w:pStyle w:val="48"/>
              <w:widowControl/>
              <w:numPr>
                <w:ilvl w:val="0"/>
                <w:numId w:val="0"/>
              </w:numPr>
              <w:tabs>
                <w:tab w:val="left" w:pos="993"/>
              </w:tabs>
              <w:spacing w:line="360" w:lineRule="auto"/>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9</w:t>
            </w:r>
          </w:p>
        </w:tc>
        <w:tc>
          <w:tcPr>
            <w:tcW w:w="4730" w:type="dxa"/>
            <w:gridSpan w:val="2"/>
            <w:noWrap w:val="0"/>
            <w:vAlign w:val="center"/>
          </w:tcPr>
          <w:p>
            <w:pPr>
              <w:pStyle w:val="48"/>
              <w:widowControl/>
              <w:numPr>
                <w:ilvl w:val="0"/>
                <w:numId w:val="0"/>
              </w:numPr>
              <w:tabs>
                <w:tab w:val="left" w:pos="993"/>
              </w:tabs>
              <w:spacing w:line="360" w:lineRule="auto"/>
              <w:jc w:val="center"/>
              <w:rPr>
                <w:rFonts w:hint="eastAsia" w:ascii="宋体" w:hAnsi="宋体" w:eastAsia="宋体" w:cs="宋体"/>
                <w:b w:val="0"/>
                <w:bCs/>
                <w:sz w:val="24"/>
                <w:szCs w:val="24"/>
                <w:highlight w:val="none"/>
                <w:vertAlign w:val="baseline"/>
                <w:lang w:val="en-US" w:eastAsia="zh-CN"/>
              </w:rPr>
            </w:pPr>
            <w:r>
              <w:rPr>
                <w:rFonts w:hint="eastAsia" w:ascii="仿宋" w:hAnsi="仿宋" w:eastAsia="仿宋" w:cs="仿宋"/>
                <w:color w:val="auto"/>
                <w:sz w:val="28"/>
                <w:szCs w:val="28"/>
                <w:highlight w:val="none"/>
                <w:lang w:val="en-US" w:eastAsia="zh-CN"/>
              </w:rPr>
              <w:t>超声检查床</w:t>
            </w:r>
          </w:p>
        </w:tc>
        <w:tc>
          <w:tcPr>
            <w:tcW w:w="2268" w:type="dxa"/>
            <w:noWrap w:val="0"/>
            <w:vAlign w:val="center"/>
          </w:tcPr>
          <w:p>
            <w:pPr>
              <w:pStyle w:val="48"/>
              <w:widowControl/>
              <w:numPr>
                <w:ilvl w:val="0"/>
                <w:numId w:val="0"/>
              </w:numPr>
              <w:tabs>
                <w:tab w:val="left" w:pos="993"/>
              </w:tabs>
              <w:spacing w:line="360" w:lineRule="auto"/>
              <w:jc w:val="center"/>
              <w:rPr>
                <w:rFonts w:hint="eastAsia" w:ascii="宋体" w:hAnsi="宋体" w:eastAsia="宋体" w:cs="宋体"/>
                <w:b w:val="0"/>
                <w:bCs/>
                <w:sz w:val="24"/>
                <w:szCs w:val="24"/>
                <w:highlight w:val="none"/>
                <w:vertAlign w:val="baseline"/>
                <w:lang w:val="en-US" w:eastAsia="zh-CN"/>
              </w:rPr>
            </w:pPr>
            <w:r>
              <w:rPr>
                <w:rFonts w:hint="eastAsia" w:ascii="仿宋" w:hAnsi="仿宋" w:eastAsia="仿宋" w:cs="仿宋"/>
                <w:color w:val="auto"/>
                <w:sz w:val="28"/>
                <w:szCs w:val="28"/>
                <w:highlight w:val="none"/>
                <w:lang w:val="en-US" w:eastAsia="zh-CN"/>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8" w:type="dxa"/>
            <w:noWrap w:val="0"/>
            <w:vAlign w:val="center"/>
          </w:tcPr>
          <w:p>
            <w:pPr>
              <w:pStyle w:val="48"/>
              <w:widowControl/>
              <w:numPr>
                <w:ilvl w:val="0"/>
                <w:numId w:val="0"/>
              </w:numPr>
              <w:tabs>
                <w:tab w:val="left" w:pos="993"/>
              </w:tabs>
              <w:spacing w:line="360" w:lineRule="auto"/>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10</w:t>
            </w:r>
          </w:p>
        </w:tc>
        <w:tc>
          <w:tcPr>
            <w:tcW w:w="4730" w:type="dxa"/>
            <w:gridSpan w:val="2"/>
            <w:noWrap w:val="0"/>
            <w:vAlign w:val="center"/>
          </w:tcPr>
          <w:p>
            <w:pPr>
              <w:pStyle w:val="48"/>
              <w:widowControl/>
              <w:numPr>
                <w:ilvl w:val="0"/>
                <w:numId w:val="0"/>
              </w:numPr>
              <w:tabs>
                <w:tab w:val="left" w:pos="993"/>
              </w:tabs>
              <w:spacing w:line="360" w:lineRule="auto"/>
              <w:jc w:val="center"/>
              <w:rPr>
                <w:rFonts w:hint="eastAsia" w:ascii="宋体" w:hAnsi="宋体" w:eastAsia="宋体" w:cs="宋体"/>
                <w:b w:val="0"/>
                <w:bCs/>
                <w:sz w:val="24"/>
                <w:szCs w:val="24"/>
                <w:highlight w:val="none"/>
                <w:vertAlign w:val="baseline"/>
                <w:lang w:val="en-US" w:eastAsia="zh-CN"/>
              </w:rPr>
            </w:pPr>
            <w:r>
              <w:rPr>
                <w:rFonts w:hint="eastAsia" w:ascii="仿宋" w:hAnsi="仿宋" w:eastAsia="仿宋" w:cs="仿宋"/>
                <w:color w:val="auto"/>
                <w:sz w:val="28"/>
                <w:szCs w:val="28"/>
                <w:highlight w:val="none"/>
                <w:lang w:val="en-US" w:eastAsia="zh-CN"/>
              </w:rPr>
              <w:t>椅子</w:t>
            </w:r>
          </w:p>
        </w:tc>
        <w:tc>
          <w:tcPr>
            <w:tcW w:w="2268" w:type="dxa"/>
            <w:noWrap w:val="0"/>
            <w:vAlign w:val="center"/>
          </w:tcPr>
          <w:p>
            <w:pPr>
              <w:pStyle w:val="48"/>
              <w:widowControl/>
              <w:numPr>
                <w:ilvl w:val="0"/>
                <w:numId w:val="0"/>
              </w:numPr>
              <w:tabs>
                <w:tab w:val="left" w:pos="993"/>
              </w:tabs>
              <w:spacing w:line="360" w:lineRule="auto"/>
              <w:jc w:val="center"/>
              <w:rPr>
                <w:rFonts w:hint="eastAsia" w:ascii="宋体" w:hAnsi="宋体" w:eastAsia="宋体" w:cs="宋体"/>
                <w:b w:val="0"/>
                <w:bCs/>
                <w:sz w:val="24"/>
                <w:szCs w:val="24"/>
                <w:highlight w:val="none"/>
                <w:vertAlign w:val="baseline"/>
                <w:lang w:val="en-US" w:eastAsia="zh-CN"/>
              </w:rPr>
            </w:pPr>
            <w:r>
              <w:rPr>
                <w:rFonts w:hint="eastAsia" w:ascii="仿宋" w:hAnsi="仿宋" w:eastAsia="仿宋" w:cs="仿宋"/>
                <w:color w:val="auto"/>
                <w:sz w:val="28"/>
                <w:szCs w:val="28"/>
                <w:highlight w:val="none"/>
                <w:lang w:val="en-US" w:eastAsia="zh-CN"/>
              </w:rPr>
              <w:t>1把</w:t>
            </w:r>
          </w:p>
        </w:tc>
      </w:tr>
    </w:tbl>
    <w:p>
      <w:pPr>
        <w:pStyle w:val="48"/>
        <w:numPr>
          <w:ilvl w:val="1"/>
          <w:numId w:val="3"/>
        </w:numPr>
        <w:tabs>
          <w:tab w:val="left" w:pos="993"/>
        </w:tabs>
        <w:spacing w:beforeLines="0" w:afterLines="0" w:line="360" w:lineRule="auto"/>
        <w:ind w:left="0" w:firstLine="425" w:firstLineChars="0"/>
        <w:jc w:val="left"/>
        <w:rPr>
          <w:rFonts w:hint="eastAsia" w:ascii="宋体" w:hAnsi="宋体" w:eastAsia="宋体" w:cs="Times New Roman"/>
          <w:b w:val="0"/>
          <w:sz w:val="24"/>
          <w:szCs w:val="28"/>
          <w:highlight w:val="none"/>
          <w:lang w:val="en-US" w:eastAsia="zh-CN"/>
        </w:rPr>
      </w:pPr>
      <w:r>
        <w:rPr>
          <w:rFonts w:hint="eastAsia" w:ascii="宋体" w:hAnsi="宋体" w:eastAsia="宋体" w:cs="Times New Roman"/>
          <w:b w:val="0"/>
          <w:sz w:val="24"/>
          <w:szCs w:val="28"/>
          <w:highlight w:val="none"/>
          <w:lang w:val="en-US" w:eastAsia="zh-CN"/>
        </w:rPr>
        <w:t>投标人应承诺提供所投设备功能所需的所有软件配置及配件。投标人须对此作出书面承诺。</w:t>
      </w:r>
    </w:p>
    <w:p>
      <w:pPr>
        <w:pStyle w:val="48"/>
        <w:numPr>
          <w:ilvl w:val="1"/>
          <w:numId w:val="3"/>
        </w:numPr>
        <w:tabs>
          <w:tab w:val="left" w:pos="993"/>
        </w:tabs>
        <w:spacing w:beforeLines="0" w:afterLines="0" w:line="360" w:lineRule="auto"/>
        <w:ind w:left="0" w:firstLine="425" w:firstLineChars="0"/>
        <w:jc w:val="left"/>
        <w:rPr>
          <w:rFonts w:hint="eastAsia" w:ascii="宋体" w:hAnsi="宋体" w:eastAsia="宋体" w:cs="Times New Roman"/>
          <w:b w:val="0"/>
          <w:sz w:val="24"/>
          <w:szCs w:val="28"/>
          <w:highlight w:val="none"/>
          <w:lang w:val="en-US" w:eastAsia="zh-CN"/>
        </w:rPr>
      </w:pPr>
      <w:r>
        <w:rPr>
          <w:rFonts w:hint="eastAsia" w:ascii="宋体" w:hAnsi="宋体" w:eastAsia="宋体" w:cs="Times New Roman"/>
          <w:b w:val="0"/>
          <w:sz w:val="24"/>
          <w:szCs w:val="28"/>
          <w:highlight w:val="none"/>
          <w:lang w:val="en-US" w:eastAsia="zh-CN"/>
        </w:rPr>
        <w:t>投标人应承诺</w:t>
      </w:r>
      <w:r>
        <w:rPr>
          <w:rFonts w:hint="eastAsia" w:ascii="宋体" w:hAnsi="宋体" w:eastAsia="宋体" w:cs="Times New Roman"/>
          <w:b w:val="0"/>
          <w:sz w:val="24"/>
          <w:szCs w:val="28"/>
          <w:highlight w:val="none"/>
          <w:lang w:val="en-US" w:eastAsia="zh-CN"/>
        </w:rPr>
        <w:t>实现</w:t>
      </w:r>
      <w:r>
        <w:rPr>
          <w:rFonts w:hint="eastAsia" w:ascii="宋体" w:hAnsi="宋体" w:eastAsia="宋体" w:cs="Times New Roman"/>
          <w:b w:val="0"/>
          <w:sz w:val="24"/>
          <w:szCs w:val="28"/>
          <w:highlight w:val="none"/>
          <w:lang w:val="en-US" w:eastAsia="zh-CN"/>
        </w:rPr>
        <w:t>采购人各种网络通讯（包括不限于LIS/HIS/DICOM）功能，应在设备生命周期内必须免费开通信息系统端口，免费开放设备数据采集接口，提供交互方法说明书等。投标人须对此作出书面承诺。</w:t>
      </w:r>
    </w:p>
    <w:p>
      <w:pPr>
        <w:pStyle w:val="48"/>
        <w:numPr>
          <w:ilvl w:val="1"/>
          <w:numId w:val="3"/>
        </w:numPr>
        <w:tabs>
          <w:tab w:val="left" w:pos="993"/>
        </w:tabs>
        <w:spacing w:beforeLines="0" w:afterLines="0" w:line="360" w:lineRule="auto"/>
        <w:ind w:left="0" w:firstLine="425" w:firstLineChars="0"/>
        <w:jc w:val="left"/>
        <w:rPr>
          <w:rFonts w:hint="eastAsia" w:ascii="宋体" w:hAnsi="宋体" w:eastAsia="宋体" w:cs="Times New Roman"/>
          <w:b/>
          <w:bCs w:val="0"/>
          <w:sz w:val="24"/>
          <w:szCs w:val="28"/>
          <w:highlight w:val="none"/>
          <w:lang w:val="en-US" w:eastAsia="zh-CN"/>
        </w:rPr>
      </w:pPr>
      <w:r>
        <w:rPr>
          <w:rFonts w:hint="default" w:ascii="宋体" w:hAnsi="宋体"/>
          <w:b/>
          <w:bCs w:val="0"/>
          <w:sz w:val="28"/>
          <w:szCs w:val="28"/>
          <w:highlight w:val="none"/>
        </w:rPr>
        <w:t>★</w:t>
      </w:r>
      <w:r>
        <w:rPr>
          <w:rFonts w:hint="eastAsia" w:ascii="宋体" w:hAnsi="宋体" w:eastAsia="宋体" w:cs="Times New Roman"/>
          <w:b/>
          <w:bCs w:val="0"/>
          <w:sz w:val="24"/>
          <w:szCs w:val="28"/>
          <w:highlight w:val="none"/>
          <w:lang w:val="en-US" w:eastAsia="zh-CN"/>
        </w:rPr>
        <w:t>以上2.1～2.31条款，除标注“▲”条款外，其余条款均为设备基本配置要求</w:t>
      </w:r>
      <w:r>
        <w:rPr>
          <w:rStyle w:val="47"/>
          <w:rFonts w:hint="eastAsia" w:ascii="宋体" w:hAnsi="宋体" w:eastAsia="宋体" w:cs="宋体"/>
          <w:b/>
          <w:bCs/>
          <w:sz w:val="24"/>
          <w:szCs w:val="24"/>
          <w:highlight w:val="none"/>
        </w:rPr>
        <w:t>及项目基本要求</w:t>
      </w:r>
      <w:r>
        <w:rPr>
          <w:rFonts w:hint="eastAsia" w:ascii="宋体" w:hAnsi="宋体" w:eastAsia="宋体" w:cs="Times New Roman"/>
          <w:b/>
          <w:bCs w:val="0"/>
          <w:sz w:val="24"/>
          <w:szCs w:val="28"/>
          <w:highlight w:val="none"/>
          <w:lang w:val="en-US" w:eastAsia="zh-CN"/>
        </w:rPr>
        <w:t>，投标人若存在不满足或负偏离的，投标无效。</w:t>
      </w:r>
    </w:p>
    <w:p>
      <w:pPr>
        <w:pStyle w:val="48"/>
        <w:numPr>
          <w:ilvl w:val="0"/>
          <w:numId w:val="3"/>
        </w:numPr>
        <w:spacing w:beforeLines="100" w:afterLines="100"/>
        <w:ind w:left="0" w:firstLine="0" w:firstLineChars="0"/>
        <w:rPr>
          <w:rFonts w:ascii="宋体" w:hAnsi="宋体" w:eastAsia="宋体"/>
          <w:b/>
          <w:sz w:val="28"/>
          <w:szCs w:val="28"/>
          <w:highlight w:val="none"/>
        </w:rPr>
      </w:pPr>
      <w:r>
        <w:rPr>
          <w:rFonts w:ascii="宋体" w:hAnsi="宋体" w:eastAsia="宋体"/>
          <w:b/>
          <w:sz w:val="28"/>
          <w:szCs w:val="28"/>
          <w:highlight w:val="none"/>
        </w:rPr>
        <w:t>技术响应要求</w:t>
      </w:r>
    </w:p>
    <w:p>
      <w:pPr>
        <w:pStyle w:val="48"/>
        <w:numPr>
          <w:ilvl w:val="1"/>
          <w:numId w:val="3"/>
        </w:numPr>
        <w:tabs>
          <w:tab w:val="left" w:pos="993"/>
        </w:tabs>
        <w:spacing w:line="360" w:lineRule="auto"/>
        <w:ind w:left="0" w:firstLine="425" w:firstLineChars="0"/>
        <w:rPr>
          <w:rFonts w:ascii="宋体" w:hAnsi="宋体" w:eastAsia="宋体"/>
          <w:sz w:val="24"/>
          <w:szCs w:val="28"/>
          <w:highlight w:val="none"/>
        </w:rPr>
      </w:pPr>
      <w:r>
        <w:rPr>
          <w:rFonts w:hint="eastAsia" w:ascii="宋体" w:hAnsi="宋体" w:eastAsia="宋体"/>
          <w:sz w:val="24"/>
          <w:szCs w:val="28"/>
          <w:highlight w:val="none"/>
        </w:rPr>
        <w:t>投标人在投标文件中应明确投标货物的品牌、制造商、型号、规格、技术参数、数量等信息，并在报价部分明确各项货物的报价。</w:t>
      </w:r>
    </w:p>
    <w:p>
      <w:pPr>
        <w:pStyle w:val="48"/>
        <w:numPr>
          <w:ilvl w:val="1"/>
          <w:numId w:val="3"/>
        </w:numPr>
        <w:tabs>
          <w:tab w:val="left" w:pos="993"/>
        </w:tabs>
        <w:spacing w:line="360" w:lineRule="auto"/>
        <w:ind w:left="0" w:firstLine="425" w:firstLineChars="0"/>
        <w:rPr>
          <w:rFonts w:ascii="宋体" w:hAnsi="宋体" w:eastAsia="宋体"/>
          <w:sz w:val="24"/>
          <w:szCs w:val="28"/>
          <w:highlight w:val="none"/>
        </w:rPr>
      </w:pPr>
      <w:r>
        <w:rPr>
          <w:rFonts w:hint="eastAsia" w:ascii="宋体" w:hAnsi="宋体" w:eastAsia="宋体"/>
          <w:sz w:val="24"/>
          <w:szCs w:val="28"/>
          <w:highlight w:val="none"/>
        </w:rPr>
        <w:t>投标人应承诺所投标设备型号为所投品牌及其该系列的最新型号。</w:t>
      </w:r>
    </w:p>
    <w:p>
      <w:pPr>
        <w:pStyle w:val="48"/>
        <w:numPr>
          <w:ilvl w:val="1"/>
          <w:numId w:val="3"/>
        </w:numPr>
        <w:tabs>
          <w:tab w:val="left" w:pos="993"/>
        </w:tabs>
        <w:spacing w:line="360" w:lineRule="auto"/>
        <w:ind w:left="0" w:firstLine="425" w:firstLineChars="0"/>
        <w:rPr>
          <w:rFonts w:ascii="宋体" w:hAnsi="宋体" w:eastAsia="宋体"/>
          <w:sz w:val="24"/>
          <w:szCs w:val="28"/>
          <w:highlight w:val="none"/>
        </w:rPr>
      </w:pPr>
      <w:r>
        <w:rPr>
          <w:rFonts w:hint="eastAsia" w:ascii="宋体" w:hAnsi="宋体" w:eastAsia="宋体"/>
          <w:sz w:val="24"/>
          <w:szCs w:val="28"/>
          <w:highlight w:val="none"/>
        </w:rPr>
        <w:t>投标人应在投标文件中附上投标货物的技术说明书（中文版，若无中文版，应同时提供中文的翻译材料并对翻译的准确性负责）。</w:t>
      </w:r>
    </w:p>
    <w:p>
      <w:pPr>
        <w:pStyle w:val="48"/>
        <w:numPr>
          <w:ilvl w:val="1"/>
          <w:numId w:val="3"/>
        </w:numPr>
        <w:tabs>
          <w:tab w:val="left" w:pos="993"/>
        </w:tabs>
        <w:spacing w:line="360" w:lineRule="auto"/>
        <w:ind w:left="0" w:firstLine="425" w:firstLineChars="0"/>
        <w:rPr>
          <w:rFonts w:ascii="宋体" w:hAnsi="宋体" w:eastAsia="宋体"/>
          <w:sz w:val="24"/>
          <w:szCs w:val="28"/>
          <w:highlight w:val="none"/>
        </w:rPr>
      </w:pPr>
      <w:r>
        <w:rPr>
          <w:rFonts w:hint="eastAsia" w:ascii="宋体" w:hAnsi="宋体" w:eastAsia="宋体"/>
          <w:sz w:val="24"/>
          <w:szCs w:val="28"/>
          <w:highlight w:val="none"/>
        </w:rPr>
        <w:t>本章的要求为基本要求，评分条款若有对优于本章要求进行加分的，投标人符合要求并提供相应证明材料的可获加分，具体详见评分条款。</w:t>
      </w:r>
    </w:p>
    <w:p>
      <w:pPr>
        <w:pStyle w:val="48"/>
        <w:numPr>
          <w:ilvl w:val="1"/>
          <w:numId w:val="3"/>
        </w:numPr>
        <w:tabs>
          <w:tab w:val="left" w:pos="993"/>
        </w:tabs>
        <w:spacing w:line="360" w:lineRule="auto"/>
        <w:ind w:left="0" w:firstLine="425" w:firstLineChars="0"/>
        <w:rPr>
          <w:rFonts w:ascii="宋体" w:hAnsi="宋体" w:eastAsia="宋体"/>
          <w:sz w:val="24"/>
          <w:szCs w:val="28"/>
          <w:highlight w:val="none"/>
        </w:rPr>
      </w:pPr>
      <w:r>
        <w:rPr>
          <w:rFonts w:hint="eastAsia" w:ascii="宋体" w:hAnsi="宋体" w:eastAsia="宋体"/>
          <w:sz w:val="24"/>
          <w:szCs w:val="28"/>
          <w:highlight w:val="none"/>
        </w:rPr>
        <w:t>投标人除根据本章技术参数要求提供相应技术响应及佐证材料外，还应根据技术项评分条款的要求提供相应的技术参数佐证材料，未按要求提供的将可能导致不得分。</w:t>
      </w:r>
    </w:p>
    <w:p>
      <w:pPr>
        <w:pStyle w:val="48"/>
        <w:numPr>
          <w:ilvl w:val="1"/>
          <w:numId w:val="3"/>
        </w:numPr>
        <w:tabs>
          <w:tab w:val="left" w:pos="993"/>
        </w:tabs>
        <w:spacing w:line="360" w:lineRule="auto"/>
        <w:ind w:left="0" w:firstLine="425" w:firstLineChars="0"/>
        <w:rPr>
          <w:rFonts w:ascii="宋体" w:hAnsi="宋体" w:eastAsia="宋体"/>
          <w:sz w:val="24"/>
          <w:szCs w:val="28"/>
          <w:highlight w:val="none"/>
        </w:rPr>
      </w:pPr>
      <w:r>
        <w:rPr>
          <w:rFonts w:hint="eastAsia" w:ascii="宋体" w:hAnsi="宋体" w:eastAsia="宋体"/>
          <w:sz w:val="24"/>
          <w:szCs w:val="28"/>
          <w:highlight w:val="none"/>
        </w:rPr>
        <w:t>投标人应根据技术项评分条款的要求提供相应的方案，如实施方案、供货方案、安装调试方案等。</w:t>
      </w:r>
    </w:p>
    <w:p>
      <w:pPr>
        <w:pStyle w:val="48"/>
        <w:numPr>
          <w:ilvl w:val="1"/>
          <w:numId w:val="3"/>
        </w:numPr>
        <w:tabs>
          <w:tab w:val="left" w:pos="993"/>
        </w:tabs>
        <w:spacing w:line="360" w:lineRule="auto"/>
        <w:ind w:left="0" w:firstLine="425" w:firstLineChars="0"/>
        <w:rPr>
          <w:rFonts w:ascii="宋体" w:hAnsi="宋体" w:eastAsia="宋体"/>
          <w:sz w:val="24"/>
          <w:szCs w:val="28"/>
          <w:highlight w:val="none"/>
        </w:rPr>
      </w:pPr>
      <w:r>
        <w:rPr>
          <w:rFonts w:hint="eastAsia" w:ascii="宋体" w:hAnsi="宋体" w:eastAsia="宋体"/>
          <w:sz w:val="24"/>
          <w:szCs w:val="28"/>
          <w:highlight w:val="none"/>
        </w:rPr>
        <w:t>投标人提供的货物技术规格、安装标准及技术规范等必须符合国家和行业规定标准、规范要求，技术参数与配置要求不低于本招标项目提供的技术参数与配置要求。本次招标的货物，投标人须保证提供的所有货物必须是未经拆封、原厂正规合格、品质优良的产品、软件必须为正版软件、技术资料齐全、满足招标文件的基本要求。</w:t>
      </w:r>
    </w:p>
    <w:p>
      <w:pPr>
        <w:pStyle w:val="48"/>
        <w:numPr>
          <w:ilvl w:val="1"/>
          <w:numId w:val="3"/>
        </w:numPr>
        <w:tabs>
          <w:tab w:val="left" w:pos="993"/>
        </w:tabs>
        <w:spacing w:line="360" w:lineRule="auto"/>
        <w:ind w:left="0" w:firstLine="425" w:firstLineChars="0"/>
        <w:rPr>
          <w:rFonts w:ascii="宋体" w:hAnsi="宋体" w:eastAsia="宋体"/>
          <w:sz w:val="24"/>
          <w:szCs w:val="28"/>
          <w:highlight w:val="none"/>
        </w:rPr>
      </w:pPr>
      <w:r>
        <w:rPr>
          <w:rFonts w:hint="eastAsia" w:ascii="宋体" w:hAnsi="宋体" w:eastAsia="宋体"/>
          <w:sz w:val="24"/>
          <w:szCs w:val="28"/>
          <w:highlight w:val="none"/>
        </w:rPr>
        <w:t>投标人应根据技术要求和评分条款的要求明确中标后投入本项目的管理人员、技术人员、服务人员等信息，并提供相应的佐证材料，未按要求提供的将可能导致不得分。</w:t>
      </w:r>
    </w:p>
    <w:p>
      <w:pPr>
        <w:pStyle w:val="48"/>
        <w:numPr>
          <w:ilvl w:val="1"/>
          <w:numId w:val="3"/>
        </w:numPr>
        <w:tabs>
          <w:tab w:val="left" w:pos="993"/>
        </w:tabs>
        <w:spacing w:line="360" w:lineRule="auto"/>
        <w:ind w:left="0" w:firstLine="425" w:firstLineChars="0"/>
        <w:rPr>
          <w:rFonts w:ascii="宋体" w:hAnsi="宋体" w:eastAsia="宋体"/>
          <w:sz w:val="24"/>
          <w:szCs w:val="28"/>
          <w:highlight w:val="none"/>
        </w:rPr>
      </w:pPr>
      <w:r>
        <w:rPr>
          <w:rFonts w:ascii="宋体" w:hAnsi="宋体" w:eastAsia="宋体"/>
          <w:sz w:val="24"/>
          <w:szCs w:val="28"/>
          <w:highlight w:val="none"/>
        </w:rPr>
        <w:t>评分条款中若要求提供人员社保证明的，</w:t>
      </w:r>
      <w:r>
        <w:rPr>
          <w:rFonts w:hint="eastAsia" w:ascii="宋体" w:hAnsi="宋体" w:eastAsia="宋体"/>
          <w:sz w:val="24"/>
          <w:szCs w:val="28"/>
          <w:highlight w:val="none"/>
        </w:rPr>
        <w:t>应提供投标截止时间前六个月（不含投标截止时间的当月）中任一月份投标人为人员缴纳社保的凭据或政府部门出具的证明。投标截止时间当月成立或享受社保减免政策的投标人，无法提供相关社保缴纳证明材料的，提供依法缴纳社会保障资金承诺书（格式自拟）即可。未按要求提供的不予认可。</w:t>
      </w:r>
    </w:p>
    <w:p>
      <w:pPr>
        <w:pStyle w:val="48"/>
        <w:numPr>
          <w:ilvl w:val="1"/>
          <w:numId w:val="3"/>
        </w:numPr>
        <w:tabs>
          <w:tab w:val="left" w:pos="993"/>
        </w:tabs>
        <w:spacing w:line="360" w:lineRule="auto"/>
        <w:ind w:left="0" w:firstLine="425" w:firstLineChars="0"/>
        <w:rPr>
          <w:rFonts w:ascii="宋体" w:hAnsi="宋体" w:eastAsia="宋体"/>
          <w:sz w:val="24"/>
          <w:szCs w:val="28"/>
          <w:highlight w:val="none"/>
        </w:rPr>
      </w:pPr>
      <w:r>
        <w:rPr>
          <w:rFonts w:hint="eastAsia" w:ascii="宋体" w:hAnsi="宋体" w:eastAsia="宋体"/>
          <w:sz w:val="24"/>
          <w:szCs w:val="28"/>
          <w:highlight w:val="none"/>
        </w:rPr>
        <w:t>评分条款中若要求提供检验（检测）报告或测试报告的，投标人应提供国家认可的第三方检验（检测）机构出具的相应报告佐证（报告需加盖检验检测专用章，并标注资质认定标志CMA或CNAS）。未按要求提供的不予认可。</w:t>
      </w:r>
    </w:p>
    <w:p>
      <w:pPr>
        <w:pStyle w:val="48"/>
        <w:numPr>
          <w:ilvl w:val="1"/>
          <w:numId w:val="3"/>
        </w:numPr>
        <w:tabs>
          <w:tab w:val="left" w:pos="993"/>
        </w:tabs>
        <w:spacing w:line="360" w:lineRule="auto"/>
        <w:ind w:left="0" w:firstLine="425" w:firstLineChars="0"/>
        <w:rPr>
          <w:rFonts w:ascii="宋体" w:hAnsi="宋体" w:eastAsia="宋体"/>
          <w:sz w:val="24"/>
          <w:szCs w:val="28"/>
          <w:highlight w:val="none"/>
        </w:rPr>
      </w:pPr>
      <w:r>
        <w:rPr>
          <w:rFonts w:hint="eastAsia" w:ascii="宋体" w:hAnsi="宋体" w:eastAsia="宋体"/>
          <w:sz w:val="24"/>
          <w:szCs w:val="28"/>
          <w:highlight w:val="none"/>
        </w:rPr>
        <w:t>投标人中标后不得将本项目转包，否则采购人有权终止合同并追究中标人的违约责任。</w:t>
      </w:r>
    </w:p>
    <w:p>
      <w:pPr>
        <w:pStyle w:val="48"/>
        <w:numPr>
          <w:ilvl w:val="1"/>
          <w:numId w:val="3"/>
        </w:numPr>
        <w:tabs>
          <w:tab w:val="left" w:pos="993"/>
        </w:tabs>
        <w:spacing w:line="360" w:lineRule="auto"/>
        <w:ind w:left="0" w:firstLine="425" w:firstLineChars="0"/>
        <w:rPr>
          <w:rFonts w:ascii="宋体" w:hAnsi="宋体" w:eastAsia="宋体"/>
          <w:sz w:val="24"/>
          <w:szCs w:val="28"/>
          <w:highlight w:val="none"/>
        </w:rPr>
      </w:pPr>
      <w:r>
        <w:rPr>
          <w:rFonts w:hint="eastAsia" w:ascii="宋体" w:hAnsi="宋体" w:eastAsia="宋体"/>
          <w:sz w:val="24"/>
          <w:szCs w:val="28"/>
          <w:highlight w:val="none"/>
        </w:rPr>
        <w:t>投标人</w:t>
      </w:r>
      <w:r>
        <w:rPr>
          <w:rFonts w:ascii="宋体" w:hAnsi="宋体" w:eastAsia="宋体"/>
          <w:sz w:val="24"/>
          <w:szCs w:val="28"/>
          <w:highlight w:val="none"/>
        </w:rPr>
        <w:t>提供的采购标的应符合国家知识产权法律、法规的规定且非假冒伪劣品；</w:t>
      </w:r>
      <w:r>
        <w:rPr>
          <w:rFonts w:hint="eastAsia" w:ascii="宋体" w:hAnsi="宋体" w:eastAsia="宋体"/>
          <w:sz w:val="24"/>
          <w:szCs w:val="28"/>
          <w:highlight w:val="none"/>
        </w:rPr>
        <w:t>投标人中标</w:t>
      </w:r>
      <w:r>
        <w:rPr>
          <w:rFonts w:ascii="宋体" w:hAnsi="宋体" w:eastAsia="宋体"/>
          <w:sz w:val="24"/>
          <w:szCs w:val="28"/>
          <w:highlight w:val="none"/>
        </w:rPr>
        <w:t>后需保证</w:t>
      </w:r>
      <w:r>
        <w:rPr>
          <w:rFonts w:hint="eastAsia" w:ascii="宋体" w:hAnsi="宋体" w:eastAsia="宋体"/>
          <w:sz w:val="24"/>
          <w:szCs w:val="28"/>
          <w:highlight w:val="none"/>
        </w:rPr>
        <w:t>采购</w:t>
      </w:r>
      <w:r>
        <w:rPr>
          <w:rFonts w:ascii="宋体" w:hAnsi="宋体" w:eastAsia="宋体"/>
          <w:sz w:val="24"/>
          <w:szCs w:val="28"/>
          <w:highlight w:val="none"/>
        </w:rPr>
        <w:t>人不受到第三方关于侵犯知识产权及专利权、商标权或工业设计权等知识产权方面的指控，若任何第三方提出此方面指控均与</w:t>
      </w:r>
      <w:r>
        <w:rPr>
          <w:rFonts w:hint="eastAsia" w:ascii="宋体" w:hAnsi="宋体" w:eastAsia="宋体"/>
          <w:sz w:val="24"/>
          <w:szCs w:val="28"/>
          <w:highlight w:val="none"/>
        </w:rPr>
        <w:t>采购人</w:t>
      </w:r>
      <w:r>
        <w:rPr>
          <w:rFonts w:ascii="宋体" w:hAnsi="宋体" w:eastAsia="宋体"/>
          <w:sz w:val="24"/>
          <w:szCs w:val="28"/>
          <w:highlight w:val="none"/>
        </w:rPr>
        <w:t>无关，</w:t>
      </w:r>
      <w:r>
        <w:rPr>
          <w:rFonts w:hint="eastAsia" w:ascii="宋体" w:hAnsi="宋体" w:eastAsia="宋体"/>
          <w:sz w:val="24"/>
          <w:szCs w:val="28"/>
          <w:highlight w:val="none"/>
        </w:rPr>
        <w:t>中标人</w:t>
      </w:r>
      <w:r>
        <w:rPr>
          <w:rFonts w:ascii="宋体" w:hAnsi="宋体" w:eastAsia="宋体"/>
          <w:sz w:val="24"/>
          <w:szCs w:val="28"/>
          <w:highlight w:val="none"/>
        </w:rPr>
        <w:t>应与第三方交涉，并承担可能发生的一切法律责任、费用和后果；若</w:t>
      </w:r>
      <w:r>
        <w:rPr>
          <w:rFonts w:hint="eastAsia" w:ascii="宋体" w:hAnsi="宋体" w:eastAsia="宋体"/>
          <w:sz w:val="24"/>
          <w:szCs w:val="28"/>
          <w:highlight w:val="none"/>
        </w:rPr>
        <w:t>采购人</w:t>
      </w:r>
      <w:r>
        <w:rPr>
          <w:rFonts w:ascii="宋体" w:hAnsi="宋体" w:eastAsia="宋体"/>
          <w:sz w:val="24"/>
          <w:szCs w:val="28"/>
          <w:highlight w:val="none"/>
        </w:rPr>
        <w:t>因此而遭致损失，则</w:t>
      </w:r>
      <w:r>
        <w:rPr>
          <w:rFonts w:hint="eastAsia" w:ascii="宋体" w:hAnsi="宋体" w:eastAsia="宋体"/>
          <w:sz w:val="24"/>
          <w:szCs w:val="28"/>
          <w:highlight w:val="none"/>
        </w:rPr>
        <w:t>中标人</w:t>
      </w:r>
      <w:r>
        <w:rPr>
          <w:rFonts w:ascii="宋体" w:hAnsi="宋体" w:eastAsia="宋体"/>
          <w:sz w:val="24"/>
          <w:szCs w:val="28"/>
          <w:highlight w:val="none"/>
        </w:rPr>
        <w:t>应赔偿该损失。</w:t>
      </w:r>
    </w:p>
    <w:p>
      <w:pPr>
        <w:pStyle w:val="48"/>
        <w:numPr>
          <w:ilvl w:val="1"/>
          <w:numId w:val="3"/>
        </w:numPr>
        <w:tabs>
          <w:tab w:val="left" w:pos="993"/>
        </w:tabs>
        <w:spacing w:line="360" w:lineRule="auto"/>
        <w:ind w:left="0" w:firstLine="425" w:firstLineChars="0"/>
        <w:rPr>
          <w:rFonts w:ascii="宋体" w:hAnsi="宋体" w:eastAsia="宋体"/>
          <w:sz w:val="24"/>
          <w:szCs w:val="28"/>
          <w:highlight w:val="none"/>
        </w:rPr>
      </w:pPr>
      <w:r>
        <w:rPr>
          <w:rFonts w:hint="eastAsia" w:ascii="宋体" w:hAnsi="宋体" w:eastAsia="宋体"/>
          <w:sz w:val="24"/>
          <w:szCs w:val="28"/>
          <w:highlight w:val="none"/>
        </w:rPr>
        <w:t>投标人应明确所提供的货物及服务与采购需求存在的正负偏离情况。对照招标文件要求，在《技术和服务要求响应表》中逐条说明所提供的货物及服务对采购需求的响应情况。投标人若未对采购需求进行逐条响应，将可能导致不利的评审后果。</w:t>
      </w:r>
    </w:p>
    <w:p/>
    <w:p>
      <w:pPr>
        <w:pStyle w:val="3"/>
        <w:spacing w:beforeLines="100" w:afterLines="100" w:line="240" w:lineRule="auto"/>
        <w:jc w:val="left"/>
        <w:rPr>
          <w:rFonts w:ascii="黑体" w:hAnsi="黑体" w:eastAsia="黑体" w:cs="Times New Roman"/>
          <w:kern w:val="0"/>
          <w:sz w:val="30"/>
        </w:rPr>
      </w:pPr>
      <w:bookmarkStart w:id="21" w:name="_Toc139103800"/>
      <w:r>
        <w:rPr>
          <w:rFonts w:ascii="黑体" w:hAnsi="黑体" w:eastAsia="黑体" w:cs="Times New Roman"/>
          <w:kern w:val="0"/>
          <w:sz w:val="30"/>
        </w:rPr>
        <w:t>三、商务要求</w:t>
      </w:r>
      <w:bookmarkEnd w:id="21"/>
    </w:p>
    <w:p>
      <w:pPr>
        <w:rPr>
          <w:rFonts w:ascii="宋体" w:hAnsi="宋体"/>
          <w:sz w:val="28"/>
          <w:szCs w:val="28"/>
        </w:rPr>
      </w:pPr>
      <w:r>
        <w:rPr>
          <w:rFonts w:ascii="宋体" w:hAnsi="宋体"/>
          <w:sz w:val="28"/>
          <w:szCs w:val="28"/>
        </w:rPr>
        <w:t>（以“★”标示的内容为不允许负偏离的实质性要求）</w:t>
      </w:r>
    </w:p>
    <w:p>
      <w:pPr>
        <w:spacing w:line="360" w:lineRule="auto"/>
        <w:rPr>
          <w:rFonts w:ascii="宋体" w:hAnsi="宋体"/>
          <w:sz w:val="24"/>
          <w:szCs w:val="28"/>
        </w:rPr>
      </w:pPr>
      <w:r>
        <w:rPr>
          <w:rFonts w:ascii="宋体" w:hAnsi="宋体"/>
          <w:sz w:val="24"/>
          <w:szCs w:val="28"/>
        </w:rPr>
        <w:t>采购包1：</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3"/>
        <w:gridCol w:w="1276"/>
        <w:gridCol w:w="2390"/>
        <w:gridCol w:w="42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noWrap w:val="0"/>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序号</w:t>
            </w:r>
          </w:p>
        </w:tc>
        <w:tc>
          <w:tcPr>
            <w:tcW w:w="1276" w:type="dxa"/>
            <w:noWrap w:val="0"/>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参数性质</w:t>
            </w:r>
          </w:p>
        </w:tc>
        <w:tc>
          <w:tcPr>
            <w:tcW w:w="2390" w:type="dxa"/>
            <w:noWrap w:val="0"/>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类型</w:t>
            </w:r>
          </w:p>
        </w:tc>
        <w:tc>
          <w:tcPr>
            <w:tcW w:w="4277" w:type="dxa"/>
            <w:noWrap w:val="0"/>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noWrap w:val="0"/>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1</w:t>
            </w:r>
          </w:p>
        </w:tc>
        <w:tc>
          <w:tcPr>
            <w:tcW w:w="1276" w:type="dxa"/>
            <w:noWrap w:val="0"/>
            <w:vAlign w:val="center"/>
          </w:tcPr>
          <w:p>
            <w:pPr>
              <w:spacing w:line="360" w:lineRule="auto"/>
              <w:jc w:val="center"/>
              <w:rPr>
                <w:rFonts w:ascii="宋体" w:hAnsi="宋体" w:eastAsia="宋体" w:cs="Times New Roman"/>
                <w:sz w:val="24"/>
                <w:szCs w:val="24"/>
              </w:rPr>
            </w:pPr>
          </w:p>
        </w:tc>
        <w:tc>
          <w:tcPr>
            <w:tcW w:w="2390" w:type="dxa"/>
            <w:noWrap w:val="0"/>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交货时间</w:t>
            </w:r>
          </w:p>
        </w:tc>
        <w:tc>
          <w:tcPr>
            <w:tcW w:w="4277" w:type="dxa"/>
            <w:noWrap w:val="0"/>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自合同签订之日起【</w:t>
            </w:r>
            <w:r>
              <w:rPr>
                <w:rFonts w:hint="eastAsia" w:ascii="宋体" w:hAnsi="宋体" w:eastAsia="宋体" w:cs="Times New Roman"/>
                <w:sz w:val="24"/>
                <w:szCs w:val="24"/>
                <w:lang w:val="en-US" w:eastAsia="zh-CN"/>
              </w:rPr>
              <w:t>45</w:t>
            </w:r>
            <w:r>
              <w:rPr>
                <w:rFonts w:hint="eastAsia" w:ascii="宋体" w:hAnsi="宋体" w:eastAsia="宋体" w:cs="Times New Roman"/>
                <w:sz w:val="24"/>
                <w:szCs w:val="24"/>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noWrap w:val="0"/>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2</w:t>
            </w:r>
          </w:p>
        </w:tc>
        <w:tc>
          <w:tcPr>
            <w:tcW w:w="1276" w:type="dxa"/>
            <w:noWrap w:val="0"/>
            <w:vAlign w:val="center"/>
          </w:tcPr>
          <w:p>
            <w:pPr>
              <w:spacing w:line="360" w:lineRule="auto"/>
              <w:jc w:val="center"/>
              <w:rPr>
                <w:rFonts w:ascii="宋体" w:hAnsi="宋体" w:eastAsia="宋体" w:cs="Times New Roman"/>
                <w:sz w:val="24"/>
                <w:szCs w:val="24"/>
              </w:rPr>
            </w:pPr>
          </w:p>
        </w:tc>
        <w:tc>
          <w:tcPr>
            <w:tcW w:w="2390" w:type="dxa"/>
            <w:noWrap w:val="0"/>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交货地点</w:t>
            </w:r>
          </w:p>
        </w:tc>
        <w:tc>
          <w:tcPr>
            <w:tcW w:w="4277" w:type="dxa"/>
            <w:noWrap w:val="0"/>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lang w:val="en-US" w:eastAsia="zh-CN"/>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noWrap w:val="0"/>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3</w:t>
            </w:r>
          </w:p>
        </w:tc>
        <w:tc>
          <w:tcPr>
            <w:tcW w:w="1276" w:type="dxa"/>
            <w:noWrap w:val="0"/>
            <w:vAlign w:val="center"/>
          </w:tcPr>
          <w:p>
            <w:pPr>
              <w:spacing w:line="360" w:lineRule="auto"/>
              <w:jc w:val="center"/>
              <w:rPr>
                <w:rFonts w:ascii="宋体" w:hAnsi="宋体" w:eastAsia="宋体" w:cs="Times New Roman"/>
                <w:sz w:val="24"/>
                <w:szCs w:val="24"/>
              </w:rPr>
            </w:pPr>
          </w:p>
        </w:tc>
        <w:tc>
          <w:tcPr>
            <w:tcW w:w="2390" w:type="dxa"/>
            <w:noWrap w:val="0"/>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交货条件</w:t>
            </w:r>
          </w:p>
        </w:tc>
        <w:tc>
          <w:tcPr>
            <w:tcW w:w="4277" w:type="dxa"/>
            <w:noWrap w:val="0"/>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lang w:val="en-US" w:eastAsia="zh-CN"/>
              </w:rPr>
              <w:t>中</w:t>
            </w:r>
            <w:r>
              <w:rPr>
                <w:rFonts w:hint="eastAsia" w:ascii="宋体" w:hAnsi="宋体" w:eastAsia="宋体" w:cs="Times New Roman"/>
                <w:sz w:val="24"/>
                <w:szCs w:val="24"/>
                <w:lang w:eastAsia="zh-CN"/>
              </w:rPr>
              <w:t>标人</w:t>
            </w:r>
            <w:r>
              <w:rPr>
                <w:rFonts w:hint="eastAsia" w:ascii="宋体" w:hAnsi="宋体" w:eastAsia="宋体" w:cs="Times New Roman"/>
                <w:sz w:val="24"/>
                <w:szCs w:val="24"/>
              </w:rPr>
              <w:t>必须能按照</w:t>
            </w:r>
            <w:r>
              <w:rPr>
                <w:rFonts w:hint="eastAsia" w:ascii="宋体" w:hAnsi="宋体" w:eastAsia="宋体" w:cs="Times New Roman"/>
                <w:sz w:val="24"/>
                <w:szCs w:val="24"/>
                <w:lang w:eastAsia="zh-CN"/>
              </w:rPr>
              <w:t>招标文件</w:t>
            </w:r>
            <w:r>
              <w:rPr>
                <w:rFonts w:hint="eastAsia" w:ascii="宋体" w:hAnsi="宋体" w:eastAsia="宋体" w:cs="Times New Roman"/>
                <w:sz w:val="24"/>
                <w:szCs w:val="24"/>
              </w:rPr>
              <w:t>规定的内容，准时提供采购货物、配件、技术说明书、材料，并负责所供货物、配件、材料及工具的包装和运输至采购人的规定地点进行现场安装、调试。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noWrap w:val="0"/>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4</w:t>
            </w:r>
          </w:p>
        </w:tc>
        <w:tc>
          <w:tcPr>
            <w:tcW w:w="1276" w:type="dxa"/>
            <w:noWrap w:val="0"/>
            <w:vAlign w:val="center"/>
          </w:tcPr>
          <w:p>
            <w:pPr>
              <w:spacing w:line="360" w:lineRule="auto"/>
              <w:jc w:val="center"/>
              <w:rPr>
                <w:rFonts w:ascii="宋体" w:hAnsi="宋体" w:eastAsia="宋体" w:cs="Times New Roman"/>
                <w:sz w:val="24"/>
                <w:szCs w:val="24"/>
              </w:rPr>
            </w:pPr>
          </w:p>
        </w:tc>
        <w:tc>
          <w:tcPr>
            <w:tcW w:w="2390" w:type="dxa"/>
            <w:noWrap w:val="0"/>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是否邀请投标人验收</w:t>
            </w:r>
          </w:p>
        </w:tc>
        <w:tc>
          <w:tcPr>
            <w:tcW w:w="4277" w:type="dxa"/>
            <w:noWrap w:val="0"/>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不邀请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noWrap w:val="0"/>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5</w:t>
            </w:r>
          </w:p>
        </w:tc>
        <w:tc>
          <w:tcPr>
            <w:tcW w:w="1276" w:type="dxa"/>
            <w:noWrap w:val="0"/>
            <w:vAlign w:val="center"/>
          </w:tcPr>
          <w:p>
            <w:pPr>
              <w:spacing w:line="360" w:lineRule="auto"/>
              <w:jc w:val="center"/>
              <w:rPr>
                <w:rFonts w:ascii="宋体" w:hAnsi="宋体" w:eastAsia="宋体" w:cs="Times New Roman"/>
                <w:sz w:val="24"/>
                <w:szCs w:val="24"/>
              </w:rPr>
            </w:pPr>
          </w:p>
        </w:tc>
        <w:tc>
          <w:tcPr>
            <w:tcW w:w="2390" w:type="dxa"/>
            <w:noWrap w:val="0"/>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履约验收方式</w:t>
            </w:r>
          </w:p>
        </w:tc>
        <w:tc>
          <w:tcPr>
            <w:tcW w:w="4277" w:type="dxa"/>
            <w:noWrap w:val="0"/>
            <w:vAlign w:val="center"/>
          </w:tcPr>
          <w:p>
            <w:pPr>
              <w:rPr>
                <w:sz w:val="24"/>
                <w:szCs w:val="28"/>
              </w:rPr>
            </w:pPr>
            <w:r>
              <w:rPr>
                <w:rFonts w:hint="eastAsia" w:ascii="宋体" w:hAnsi="宋体" w:eastAsia="宋体" w:cs="Times New Roman"/>
                <w:kern w:val="0"/>
                <w:sz w:val="24"/>
                <w:szCs w:val="24"/>
              </w:rPr>
              <w:t>1、期次1，说明：【</w:t>
            </w:r>
            <w:r>
              <w:rPr>
                <w:rFonts w:hint="eastAsia" w:ascii="宋体" w:hAnsi="宋体" w:eastAsia="宋体" w:cs="Times New Roman"/>
                <w:kern w:val="0"/>
                <w:sz w:val="24"/>
                <w:szCs w:val="24"/>
                <w:lang w:val="en-US" w:eastAsia="zh-CN"/>
              </w:rPr>
              <w:t>1、</w:t>
            </w:r>
            <w:r>
              <w:rPr>
                <w:rFonts w:hint="eastAsia"/>
                <w:sz w:val="24"/>
                <w:szCs w:val="28"/>
              </w:rPr>
              <w:t>验收依据：招标文件、投标文件、合同、厂家货物技术标准说明及国家有关的质量标准规定，均为验收依据。</w:t>
            </w:r>
          </w:p>
          <w:p>
            <w:pP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w:t>
            </w:r>
            <w:r>
              <w:rPr>
                <w:rFonts w:hint="eastAsia" w:ascii="宋体" w:hAnsi="宋体" w:eastAsia="宋体" w:cs="宋体"/>
                <w:sz w:val="24"/>
                <w:szCs w:val="28"/>
              </w:rPr>
              <w:t>货物验收：货物运抵采购人处后由双方对照采购清单及技术要求进行验收。</w:t>
            </w:r>
            <w:r>
              <w:rPr>
                <w:rFonts w:hint="eastAsia" w:ascii="宋体" w:hAnsi="宋体" w:eastAsia="宋体" w:cs="宋体"/>
                <w:sz w:val="24"/>
                <w:szCs w:val="28"/>
                <w:lang w:val="en-US" w:eastAsia="zh-CN"/>
              </w:rPr>
              <w:t>（每类产品必须说明材质、规格等）。家具安装结束，双方共同验收并签署设备验收合格证书。</w:t>
            </w:r>
          </w:p>
          <w:p>
            <w:pPr>
              <w:rPr>
                <w:rFonts w:hint="eastAsia" w:ascii="宋体" w:hAnsi="宋体" w:eastAsia="宋体" w:cs="宋体"/>
                <w:sz w:val="24"/>
                <w:szCs w:val="28"/>
              </w:rPr>
            </w:pPr>
            <w:r>
              <w:rPr>
                <w:rFonts w:hint="eastAsia" w:ascii="宋体" w:hAnsi="宋体" w:eastAsia="宋体" w:cs="宋体"/>
                <w:sz w:val="24"/>
                <w:szCs w:val="28"/>
                <w:lang w:val="en-US" w:eastAsia="zh-CN"/>
              </w:rPr>
              <w:t>3、</w:t>
            </w:r>
            <w:r>
              <w:rPr>
                <w:rFonts w:hint="eastAsia" w:ascii="宋体" w:hAnsi="宋体" w:eastAsia="宋体" w:cs="宋体"/>
                <w:sz w:val="24"/>
                <w:szCs w:val="28"/>
              </w:rPr>
              <w:t>货物验收合格前，设备发生任何质量问题，均由中标人负责免费更换，更换时所发生的商检、运输、清关（若有）等费用均由中标人负责。若在换货后仍验收不合格，招标人有权予以退货、要求返还先期货款并没收履约保证金，在退换货过程中有任何损坏由中标人负责。</w:t>
            </w:r>
          </w:p>
          <w:p>
            <w:pPr>
              <w:rPr>
                <w:rFonts w:hint="eastAsia" w:ascii="宋体" w:hAnsi="宋体" w:cs="宋体"/>
                <w:sz w:val="24"/>
                <w:szCs w:val="28"/>
              </w:rPr>
            </w:pPr>
            <w:r>
              <w:rPr>
                <w:rFonts w:hint="eastAsia" w:ascii="宋体" w:hAnsi="宋体" w:cs="宋体"/>
                <w:sz w:val="24"/>
                <w:szCs w:val="28"/>
                <w:lang w:val="en-US" w:eastAsia="zh-CN"/>
              </w:rPr>
              <w:t>4、</w:t>
            </w:r>
            <w:r>
              <w:rPr>
                <w:rFonts w:hint="eastAsia" w:ascii="宋体" w:hAnsi="宋体" w:cs="宋体"/>
                <w:sz w:val="24"/>
                <w:szCs w:val="28"/>
              </w:rPr>
              <w:t>采</w:t>
            </w:r>
            <w:r>
              <w:rPr>
                <w:rFonts w:hint="eastAsia"/>
                <w:sz w:val="24"/>
                <w:szCs w:val="28"/>
              </w:rPr>
              <w:t>购人有权委托我国相关具有检验资质的部门、单位、机构针对中标货物的精度（软硬件）、性能进行检验。其</w:t>
            </w:r>
            <w:r>
              <w:rPr>
                <w:rFonts w:hint="eastAsia" w:ascii="宋体" w:hAnsi="宋体" w:cs="宋体"/>
                <w:sz w:val="24"/>
                <w:szCs w:val="28"/>
              </w:rPr>
              <w:t>检验结果将作为验收标准的组成部分之一。</w:t>
            </w:r>
          </w:p>
          <w:p>
            <w:pPr>
              <w:rPr>
                <w:rFonts w:hint="eastAsia" w:ascii="宋体" w:hAnsi="宋体" w:cs="宋体"/>
                <w:sz w:val="24"/>
                <w:szCs w:val="28"/>
              </w:rPr>
            </w:pPr>
            <w:r>
              <w:rPr>
                <w:rFonts w:hint="eastAsia" w:ascii="宋体" w:hAnsi="宋体" w:cs="宋体"/>
                <w:sz w:val="24"/>
                <w:szCs w:val="28"/>
                <w:lang w:val="en-US" w:eastAsia="zh-CN"/>
              </w:rPr>
              <w:t>5、</w:t>
            </w:r>
            <w:r>
              <w:rPr>
                <w:rFonts w:hint="eastAsia" w:ascii="宋体" w:hAnsi="宋体" w:cs="宋体"/>
                <w:sz w:val="24"/>
                <w:szCs w:val="28"/>
              </w:rPr>
              <w:t>中标人应根据项目需求提交与本次需求有关的相关</w:t>
            </w:r>
            <w:r>
              <w:rPr>
                <w:rFonts w:hint="eastAsia" w:ascii="宋体" w:hAnsi="宋体" w:cs="宋体"/>
                <w:sz w:val="24"/>
                <w:szCs w:val="28"/>
                <w:lang w:val="en-US" w:eastAsia="zh-CN"/>
              </w:rPr>
              <w:t>技术材料</w:t>
            </w:r>
            <w:r>
              <w:rPr>
                <w:rFonts w:hint="eastAsia" w:ascii="宋体" w:hAnsi="宋体" w:cs="宋体"/>
                <w:sz w:val="24"/>
                <w:szCs w:val="28"/>
              </w:rPr>
              <w:t>，技术规范等有关资料必须符合国家相应的有关标准、规范要求。</w:t>
            </w:r>
          </w:p>
          <w:p>
            <w:pPr>
              <w:spacing w:line="360" w:lineRule="auto"/>
              <w:rPr>
                <w:rFonts w:hint="eastAsia" w:ascii="宋体" w:hAnsi="宋体" w:eastAsia="宋体" w:cs="宋体"/>
                <w:kern w:val="0"/>
                <w:sz w:val="24"/>
                <w:szCs w:val="24"/>
              </w:rPr>
            </w:pPr>
            <w:r>
              <w:rPr>
                <w:rFonts w:hint="eastAsia" w:ascii="宋体" w:hAnsi="宋体" w:cs="宋体"/>
                <w:sz w:val="24"/>
                <w:szCs w:val="28"/>
                <w:lang w:val="en-US" w:eastAsia="zh-CN"/>
              </w:rPr>
              <w:t>6、</w:t>
            </w:r>
            <w:r>
              <w:rPr>
                <w:rFonts w:hint="eastAsia" w:ascii="宋体" w:hAnsi="宋体" w:cs="宋体"/>
                <w:sz w:val="24"/>
                <w:szCs w:val="28"/>
              </w:rPr>
              <w:t>验收时中标人必须派代表参加。</w:t>
            </w:r>
          </w:p>
          <w:p>
            <w:pPr>
              <w:spacing w:line="360" w:lineRule="auto"/>
              <w:rPr>
                <w:rFonts w:ascii="宋体" w:hAnsi="宋体" w:eastAsia="宋体" w:cs="Times New Roman"/>
                <w:kern w:val="0"/>
                <w:sz w:val="24"/>
                <w:szCs w:val="24"/>
              </w:rPr>
            </w:pPr>
            <w:r>
              <w:rPr>
                <w:rFonts w:hint="eastAsia" w:ascii="宋体" w:hAnsi="宋体" w:cs="宋体"/>
                <w:sz w:val="24"/>
                <w:szCs w:val="28"/>
                <w:lang w:val="en-US" w:eastAsia="zh-CN"/>
              </w:rPr>
              <w:t>7、</w:t>
            </w:r>
            <w:r>
              <w:rPr>
                <w:rFonts w:hint="eastAsia" w:ascii="宋体" w:hAnsi="宋体" w:cs="宋体"/>
                <w:sz w:val="24"/>
                <w:szCs w:val="28"/>
              </w:rPr>
              <w:t>验收过程所发生的一切费用由中标人承担。</w:t>
            </w:r>
            <w:r>
              <w:rPr>
                <w:rFonts w:hint="eastAsia" w:ascii="宋体" w:hAnsi="宋体" w:eastAsia="宋体" w:cs="宋体"/>
                <w:kern w:val="0"/>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noWrap w:val="0"/>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6</w:t>
            </w:r>
          </w:p>
        </w:tc>
        <w:tc>
          <w:tcPr>
            <w:tcW w:w="1276" w:type="dxa"/>
            <w:noWrap w:val="0"/>
            <w:vAlign w:val="center"/>
          </w:tcPr>
          <w:p>
            <w:pPr>
              <w:spacing w:line="360" w:lineRule="auto"/>
              <w:jc w:val="center"/>
              <w:rPr>
                <w:rFonts w:ascii="宋体" w:hAnsi="宋体" w:eastAsia="宋体" w:cs="Times New Roman"/>
                <w:sz w:val="24"/>
                <w:szCs w:val="24"/>
              </w:rPr>
            </w:pPr>
          </w:p>
        </w:tc>
        <w:tc>
          <w:tcPr>
            <w:tcW w:w="2390" w:type="dxa"/>
            <w:noWrap w:val="0"/>
            <w:vAlign w:val="center"/>
          </w:tcPr>
          <w:p>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合同支付方式</w:t>
            </w:r>
          </w:p>
        </w:tc>
        <w:tc>
          <w:tcPr>
            <w:tcW w:w="4277" w:type="dxa"/>
            <w:noWrap w:val="0"/>
            <w:vAlign w:val="center"/>
          </w:tcPr>
          <w:p>
            <w:pPr>
              <w:spacing w:line="360" w:lineRule="auto"/>
              <w:rPr>
                <w:rFonts w:hint="eastAsia" w:ascii="宋体" w:hAnsi="宋体" w:eastAsia="宋体" w:cs="宋体"/>
                <w:kern w:val="0"/>
                <w:sz w:val="24"/>
                <w:szCs w:val="24"/>
                <w:highlight w:val="none"/>
              </w:rPr>
            </w:pPr>
            <w:r>
              <w:rPr>
                <w:rFonts w:hint="eastAsia" w:ascii="宋体" w:hAnsi="宋体" w:eastAsia="宋体" w:cs="宋体"/>
                <w:kern w:val="2"/>
                <w:sz w:val="24"/>
                <w:szCs w:val="24"/>
                <w:highlight w:val="none"/>
              </w:rPr>
              <w:t>【</w:t>
            </w:r>
            <w:r>
              <w:rPr>
                <w:rFonts w:hint="eastAsia" w:ascii="宋体" w:hAnsi="宋体" w:eastAsia="宋体" w:cs="宋体"/>
                <w:bCs w:val="0"/>
                <w:color w:val="FF0000"/>
                <w:kern w:val="2"/>
                <w:sz w:val="24"/>
                <w:szCs w:val="24"/>
                <w:highlight w:val="none"/>
                <w:lang w:val="en-US" w:eastAsia="zh-CN"/>
              </w:rPr>
              <w:t>合同货物最终验收合格并交付使用后90个工作日内，采购人凭中标人开具的100%合同总价的增值税普通发票及采购人签署的《厦门市政府采购验收报告》</w:t>
            </w:r>
            <w:r>
              <w:rPr>
                <w:rFonts w:hint="eastAsia" w:ascii="宋体" w:hAnsi="宋体" w:cs="宋体"/>
                <w:bCs w:val="0"/>
                <w:color w:val="FF0000"/>
                <w:kern w:val="2"/>
                <w:sz w:val="24"/>
                <w:szCs w:val="24"/>
                <w:highlight w:val="none"/>
                <w:lang w:val="en-US" w:eastAsia="zh-CN"/>
              </w:rPr>
              <w:t>且经采购人确认</w:t>
            </w:r>
            <w:r>
              <w:rPr>
                <w:rFonts w:hint="eastAsia" w:ascii="宋体" w:hAnsi="宋体" w:eastAsia="宋体" w:cs="宋体"/>
                <w:bCs w:val="0"/>
                <w:color w:val="FF0000"/>
                <w:kern w:val="2"/>
                <w:sz w:val="24"/>
                <w:szCs w:val="24"/>
                <w:highlight w:val="none"/>
                <w:lang w:val="en-US" w:eastAsia="zh-CN"/>
              </w:rPr>
              <w:t>后</w:t>
            </w:r>
            <w:r>
              <w:rPr>
                <w:rFonts w:hint="eastAsia" w:ascii="宋体" w:hAnsi="宋体" w:eastAsia="宋体" w:cs="宋体"/>
                <w:kern w:val="2"/>
                <w:sz w:val="24"/>
                <w:szCs w:val="24"/>
                <w:highlight w:val="none"/>
              </w:rPr>
              <w:t>】</w:t>
            </w:r>
            <w:r>
              <w:rPr>
                <w:rFonts w:hint="eastAsia" w:ascii="宋体" w:hAnsi="宋体" w:eastAsia="宋体" w:cs="宋体"/>
                <w:kern w:val="2"/>
                <w:sz w:val="24"/>
                <w:szCs w:val="24"/>
                <w:highlight w:val="none"/>
                <w:lang w:eastAsia="zh-CN"/>
              </w:rPr>
              <w:t>，</w:t>
            </w:r>
            <w:r>
              <w:rPr>
                <w:rFonts w:hint="eastAsia" w:ascii="宋体" w:hAnsi="宋体" w:eastAsia="宋体" w:cs="宋体"/>
                <w:kern w:val="0"/>
                <w:sz w:val="24"/>
                <w:szCs w:val="24"/>
                <w:highlight w:val="none"/>
              </w:rPr>
              <w:t>达到付款条件起【</w:t>
            </w:r>
            <w:r>
              <w:rPr>
                <w:rFonts w:hint="eastAsia" w:ascii="宋体" w:hAnsi="宋体" w:eastAsia="宋体" w:cs="宋体"/>
                <w:kern w:val="0"/>
                <w:sz w:val="24"/>
                <w:szCs w:val="24"/>
                <w:highlight w:val="none"/>
                <w:lang w:val="en-US" w:eastAsia="zh-CN"/>
              </w:rPr>
              <w:t>7</w:t>
            </w:r>
            <w:r>
              <w:rPr>
                <w:rFonts w:hint="eastAsia" w:ascii="宋体" w:hAnsi="宋体" w:eastAsia="宋体" w:cs="宋体"/>
                <w:kern w:val="0"/>
                <w:sz w:val="24"/>
                <w:szCs w:val="24"/>
                <w:highlight w:val="none"/>
              </w:rPr>
              <w:t>】日，支付合同总金额的【</w:t>
            </w:r>
            <w:r>
              <w:rPr>
                <w:rFonts w:hint="eastAsia" w:ascii="宋体" w:hAnsi="宋体" w:eastAsia="宋体" w:cs="宋体"/>
                <w:kern w:val="0"/>
                <w:sz w:val="24"/>
                <w:szCs w:val="24"/>
                <w:highlight w:val="none"/>
                <w:lang w:val="en-US" w:eastAsia="zh-CN"/>
              </w:rPr>
              <w:t>100</w:t>
            </w:r>
            <w:r>
              <w:rPr>
                <w:rFonts w:hint="eastAsia" w:ascii="宋体" w:hAnsi="宋体" w:eastAsia="宋体" w:cs="宋体"/>
                <w:kern w:val="0"/>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3" w:type="dxa"/>
            <w:noWrap w:val="0"/>
            <w:vAlign w:val="center"/>
          </w:tcPr>
          <w:p>
            <w:pPr>
              <w:spacing w:line="360" w:lineRule="auto"/>
              <w:jc w:val="center"/>
              <w:rPr>
                <w:rFonts w:ascii="宋体" w:hAnsi="宋体" w:eastAsia="宋体" w:cs="Times New Roman"/>
                <w:sz w:val="24"/>
                <w:szCs w:val="24"/>
              </w:rPr>
            </w:pPr>
            <w:r>
              <w:rPr>
                <w:rFonts w:ascii="宋体" w:hAnsi="宋体" w:eastAsia="宋体" w:cs="Times New Roman"/>
                <w:sz w:val="24"/>
                <w:szCs w:val="24"/>
              </w:rPr>
              <w:t>7</w:t>
            </w:r>
          </w:p>
        </w:tc>
        <w:tc>
          <w:tcPr>
            <w:tcW w:w="1276" w:type="dxa"/>
            <w:noWrap w:val="0"/>
            <w:vAlign w:val="center"/>
          </w:tcPr>
          <w:p>
            <w:pPr>
              <w:spacing w:line="360" w:lineRule="auto"/>
              <w:jc w:val="center"/>
              <w:rPr>
                <w:rFonts w:ascii="宋体" w:hAnsi="宋体" w:eastAsia="宋体" w:cs="Times New Roman"/>
                <w:sz w:val="24"/>
                <w:szCs w:val="24"/>
              </w:rPr>
            </w:pPr>
          </w:p>
        </w:tc>
        <w:tc>
          <w:tcPr>
            <w:tcW w:w="2390" w:type="dxa"/>
            <w:noWrap w:val="0"/>
            <w:vAlign w:val="center"/>
          </w:tcPr>
          <w:p>
            <w:pPr>
              <w:spacing w:line="360" w:lineRule="auto"/>
              <w:jc w:val="center"/>
              <w:rPr>
                <w:rFonts w:ascii="宋体" w:hAnsi="宋体" w:eastAsia="宋体" w:cs="Times New Roman"/>
                <w:sz w:val="24"/>
                <w:szCs w:val="24"/>
                <w:highlight w:val="none"/>
              </w:rPr>
            </w:pPr>
            <w:r>
              <w:rPr>
                <w:rFonts w:ascii="宋体" w:hAnsi="宋体" w:eastAsia="宋体" w:cs="Times New Roman"/>
                <w:sz w:val="24"/>
                <w:szCs w:val="24"/>
                <w:highlight w:val="none"/>
              </w:rPr>
              <w:t>其他</w:t>
            </w:r>
          </w:p>
        </w:tc>
        <w:tc>
          <w:tcPr>
            <w:tcW w:w="42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说明：因系统格式固化问题，本表格序号1</w:t>
            </w:r>
            <w:r>
              <w:rPr>
                <w:rFonts w:hint="eastAsia" w:ascii="宋体" w:hAnsi="宋体" w:eastAsia="宋体" w:cs="宋体"/>
                <w:bCs/>
                <w:kern w:val="0"/>
                <w:sz w:val="24"/>
                <w:szCs w:val="24"/>
                <w:highlight w:val="none"/>
              </w:rPr>
              <w:t>交货时间</w:t>
            </w:r>
            <w:r>
              <w:rPr>
                <w:rFonts w:hint="eastAsia" w:ascii="宋体" w:hAnsi="宋体" w:eastAsia="宋体" w:cs="宋体"/>
                <w:bCs/>
                <w:kern w:val="0"/>
                <w:sz w:val="24"/>
                <w:szCs w:val="24"/>
                <w:highlight w:val="none"/>
                <w:lang w:val="en-US" w:eastAsia="zh-CN"/>
              </w:rPr>
              <w:t xml:space="preserve">内容以下述内容为准； </w:t>
            </w:r>
          </w:p>
          <w:p>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bCs/>
                <w:kern w:val="0"/>
                <w:sz w:val="24"/>
                <w:szCs w:val="24"/>
                <w:highlight w:val="none"/>
              </w:rPr>
              <w:t>交货时间</w:t>
            </w:r>
            <w:r>
              <w:rPr>
                <w:rFonts w:hint="eastAsia" w:ascii="宋体" w:hAnsi="宋体" w:eastAsia="宋体" w:cs="宋体"/>
                <w:bCs/>
                <w:kern w:val="0"/>
                <w:sz w:val="24"/>
                <w:szCs w:val="24"/>
                <w:highlight w:val="none"/>
                <w:lang w:eastAsia="zh-CN"/>
              </w:rPr>
              <w:t>：</w:t>
            </w:r>
            <w:r>
              <w:rPr>
                <w:rFonts w:hint="eastAsia" w:ascii="宋体" w:hAnsi="宋体" w:eastAsia="宋体" w:cs="宋体"/>
                <w:bCs/>
                <w:kern w:val="0"/>
                <w:sz w:val="24"/>
                <w:szCs w:val="24"/>
                <w:highlight w:val="none"/>
              </w:rPr>
              <w:t>合同签订后45个日历日内供货、安装完毕并提交采购人验收。</w:t>
            </w:r>
          </w:p>
        </w:tc>
      </w:tr>
    </w:tbl>
    <w:p>
      <w:pPr>
        <w:spacing w:line="360" w:lineRule="auto"/>
        <w:ind w:firstLine="480" w:firstLineChars="200"/>
        <w:jc w:val="left"/>
        <w:rPr>
          <w:rFonts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履约保证金：</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采购包1：</w:t>
      </w:r>
      <w:r>
        <w:rPr>
          <w:rFonts w:hint="eastAsia" w:ascii="宋体" w:hAnsi="宋体" w:eastAsia="宋体" w:cs="Times New Roman"/>
          <w:kern w:val="0"/>
          <w:sz w:val="24"/>
          <w:szCs w:val="24"/>
          <w:highlight w:val="none"/>
        </w:rPr>
        <w:t>缴纳</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本采购包履约保证金为合同金额的【</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说明：</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收取时间：合同签订时提交。对符合规定的中小企业减半收取履约保证金。</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退还时间：在合同履约完毕且无合同纠纷后7个工作日内向供应商退清履约保证金。</w:t>
      </w:r>
    </w:p>
    <w:p>
      <w:pPr>
        <w:spacing w:line="360" w:lineRule="auto"/>
        <w:ind w:firstLine="480" w:firstLineChars="200"/>
        <w:jc w:val="left"/>
        <w:rPr>
          <w:rFonts w:ascii="宋体" w:hAnsi="宋体" w:eastAsia="宋体" w:cs="Times New Roman"/>
          <w:kern w:val="0"/>
          <w:sz w:val="24"/>
          <w:szCs w:val="24"/>
        </w:rPr>
      </w:pPr>
      <w:r>
        <w:rPr>
          <w:rFonts w:hint="eastAsia" w:ascii="宋体" w:hAnsi="宋体" w:eastAsia="宋体" w:cs="Times New Roman"/>
          <w:kern w:val="0"/>
          <w:sz w:val="24"/>
          <w:szCs w:val="24"/>
        </w:rPr>
        <w:t>提交方式：允许供应商自行选择提交履约保证金的方式。</w:t>
      </w:r>
    </w:p>
    <w:p>
      <w:pPr>
        <w:spacing w:line="360" w:lineRule="auto"/>
        <w:ind w:firstLine="480" w:firstLineChars="200"/>
        <w:rPr>
          <w:rFonts w:ascii="宋体" w:hAnsi="宋体"/>
          <w:sz w:val="24"/>
          <w:szCs w:val="28"/>
        </w:rPr>
      </w:pPr>
      <w:r>
        <w:rPr>
          <w:rFonts w:hint="eastAsia" w:ascii="宋体" w:hAnsi="宋体" w:eastAsia="宋体" w:cs="Times New Roman"/>
          <w:kern w:val="0"/>
          <w:sz w:val="24"/>
          <w:szCs w:val="24"/>
        </w:rPr>
        <w:t>不予退还的情形：供应商未按合同约定承担违约责任的，采购人有权不予退还履约保证金。</w:t>
      </w:r>
    </w:p>
    <w:p>
      <w:pPr>
        <w:spacing w:line="360" w:lineRule="auto"/>
        <w:ind w:firstLine="482" w:firstLineChars="200"/>
        <w:rPr>
          <w:rFonts w:ascii="宋体" w:hAnsi="宋体"/>
          <w:b/>
          <w:sz w:val="24"/>
          <w:szCs w:val="28"/>
        </w:rPr>
      </w:pPr>
      <w:r>
        <w:rPr>
          <w:rFonts w:ascii="宋体" w:hAnsi="宋体"/>
          <w:b/>
          <w:sz w:val="24"/>
          <w:szCs w:val="28"/>
        </w:rPr>
        <w:t>其他商务要求</w:t>
      </w:r>
    </w:p>
    <w:p>
      <w:pPr>
        <w:pStyle w:val="48"/>
        <w:numPr>
          <w:ilvl w:val="0"/>
          <w:numId w:val="4"/>
        </w:numPr>
        <w:tabs>
          <w:tab w:val="left" w:pos="425"/>
        </w:tabs>
        <w:spacing w:line="360" w:lineRule="auto"/>
        <w:ind w:left="425" w:hanging="425" w:firstLineChars="0"/>
        <w:rPr>
          <w:rFonts w:hint="eastAsia" w:ascii="黑体" w:hAnsi="黑体" w:eastAsia="黑体" w:cs="Times New Roman"/>
          <w:b/>
          <w:bCs/>
          <w:kern w:val="2"/>
          <w:sz w:val="28"/>
          <w:szCs w:val="28"/>
        </w:rPr>
      </w:pPr>
      <w:r>
        <w:rPr>
          <w:rFonts w:hint="eastAsia" w:ascii="黑体" w:hAnsi="黑体" w:eastAsia="黑体" w:cs="Times New Roman"/>
          <w:b/>
          <w:bCs/>
          <w:kern w:val="2"/>
          <w:sz w:val="28"/>
          <w:szCs w:val="28"/>
        </w:rPr>
        <w:t>售后服务要求</w:t>
      </w:r>
    </w:p>
    <w:p>
      <w:pPr>
        <w:pStyle w:val="48"/>
        <w:numPr>
          <w:ilvl w:val="1"/>
          <w:numId w:val="4"/>
        </w:numPr>
        <w:tabs>
          <w:tab w:val="left" w:pos="425"/>
        </w:tabs>
        <w:spacing w:line="360" w:lineRule="auto"/>
        <w:ind w:left="-5" w:firstLineChars="0"/>
        <w:rPr>
          <w:sz w:val="24"/>
          <w:szCs w:val="28"/>
        </w:rPr>
      </w:pPr>
      <w:r>
        <w:rPr>
          <w:rFonts w:hint="eastAsia"/>
          <w:sz w:val="24"/>
          <w:szCs w:val="28"/>
        </w:rPr>
        <w:t>投标人应按照本采购项目特点提供长期良好的售 后服务，并在投标文件中提供详细具体的售 后服务承诺条款及保证。</w:t>
      </w:r>
    </w:p>
    <w:p>
      <w:pPr>
        <w:pStyle w:val="48"/>
        <w:numPr>
          <w:ilvl w:val="1"/>
          <w:numId w:val="4"/>
        </w:numPr>
        <w:tabs>
          <w:tab w:val="left" w:pos="425"/>
        </w:tabs>
        <w:spacing w:line="360" w:lineRule="auto"/>
        <w:ind w:left="-5" w:firstLineChars="0"/>
        <w:rPr>
          <w:rFonts w:ascii="宋体" w:hAnsi="宋体" w:eastAsia="宋体"/>
          <w:b/>
          <w:bCs/>
          <w:sz w:val="24"/>
          <w:szCs w:val="28"/>
        </w:rPr>
      </w:pPr>
      <w:r>
        <w:rPr>
          <w:rFonts w:hint="eastAsia"/>
          <w:b/>
          <w:bCs/>
          <w:sz w:val="24"/>
          <w:szCs w:val="28"/>
          <w:highlight w:val="none"/>
        </w:rPr>
        <w:t>★质保期</w:t>
      </w:r>
      <w:r>
        <w:rPr>
          <w:rFonts w:hint="eastAsia" w:ascii="宋体" w:hAnsi="宋体" w:eastAsia="宋体"/>
          <w:b/>
          <w:bCs/>
          <w:sz w:val="24"/>
          <w:szCs w:val="28"/>
          <w:highlight w:val="none"/>
        </w:rPr>
        <w:t>：不少于</w:t>
      </w:r>
      <w:r>
        <w:rPr>
          <w:rFonts w:hint="eastAsia" w:ascii="宋体" w:hAnsi="宋体"/>
          <w:b/>
          <w:bCs/>
          <w:sz w:val="24"/>
          <w:szCs w:val="28"/>
          <w:highlight w:val="none"/>
          <w:u w:val="single"/>
          <w:lang w:val="en-US" w:eastAsia="zh-CN"/>
        </w:rPr>
        <w:t>3</w:t>
      </w:r>
      <w:r>
        <w:rPr>
          <w:rFonts w:hint="eastAsia" w:ascii="宋体" w:hAnsi="宋体" w:eastAsia="宋体"/>
          <w:b/>
          <w:bCs/>
          <w:sz w:val="24"/>
          <w:szCs w:val="28"/>
          <w:highlight w:val="none"/>
        </w:rPr>
        <w:t>年，自</w:t>
      </w:r>
      <w:r>
        <w:rPr>
          <w:rFonts w:hint="eastAsia" w:ascii="宋体" w:hAnsi="宋体" w:eastAsia="宋体"/>
          <w:b/>
          <w:bCs/>
          <w:sz w:val="24"/>
          <w:szCs w:val="28"/>
        </w:rPr>
        <w:t>所有货物验收合格交付使用之日起计算，质保期内，设备发生任何质量问题，均由中标人负责免费修复，失效零件予以免费更换，更换时所发生的商检、运输</w:t>
      </w:r>
      <w:r>
        <w:rPr>
          <w:rFonts w:hint="eastAsia" w:ascii="宋体" w:hAnsi="宋体"/>
          <w:b/>
          <w:bCs/>
          <w:sz w:val="24"/>
          <w:szCs w:val="28"/>
          <w:lang w:eastAsia="zh-CN"/>
        </w:rPr>
        <w:t>、</w:t>
      </w:r>
      <w:r>
        <w:rPr>
          <w:rFonts w:hint="eastAsia" w:ascii="宋体" w:hAnsi="宋体"/>
          <w:b/>
          <w:bCs/>
          <w:sz w:val="24"/>
          <w:szCs w:val="28"/>
          <w:lang w:val="en-US" w:eastAsia="zh-CN"/>
        </w:rPr>
        <w:t>清关</w:t>
      </w:r>
      <w:r>
        <w:rPr>
          <w:rFonts w:hint="eastAsia" w:ascii="宋体" w:hAnsi="宋体" w:eastAsia="宋体"/>
          <w:b/>
          <w:bCs/>
          <w:sz w:val="24"/>
          <w:szCs w:val="28"/>
        </w:rPr>
        <w:t>等费用均由中标人负责。</w:t>
      </w:r>
      <w:r>
        <w:rPr>
          <w:rFonts w:hint="eastAsia" w:ascii="宋体" w:hAnsi="宋体"/>
          <w:b/>
          <w:bCs/>
          <w:sz w:val="24"/>
          <w:szCs w:val="28"/>
          <w:lang w:val="en-US" w:eastAsia="zh-CN"/>
        </w:rPr>
        <w:t>投标人提供相应的书面承诺。</w:t>
      </w:r>
    </w:p>
    <w:p>
      <w:pPr>
        <w:pStyle w:val="48"/>
        <w:numPr>
          <w:ilvl w:val="1"/>
          <w:numId w:val="4"/>
        </w:numPr>
        <w:tabs>
          <w:tab w:val="left" w:pos="425"/>
        </w:tabs>
        <w:spacing w:line="360" w:lineRule="auto"/>
        <w:ind w:left="-5" w:firstLineChars="0"/>
        <w:rPr>
          <w:rFonts w:ascii="宋体" w:hAnsi="宋体" w:eastAsia="宋体"/>
          <w:sz w:val="24"/>
          <w:szCs w:val="28"/>
        </w:rPr>
      </w:pPr>
      <w:r>
        <w:rPr>
          <w:rFonts w:hint="eastAsia" w:ascii="宋体" w:hAnsi="宋体" w:eastAsia="宋体"/>
          <w:sz w:val="24"/>
          <w:szCs w:val="28"/>
        </w:rPr>
        <w:t>中标货物在质保期间出现故障，中标人应在接到采购人通知后2小时以内响应，</w:t>
      </w:r>
      <w:r>
        <w:rPr>
          <w:rFonts w:hint="eastAsia" w:ascii="宋体" w:hAnsi="宋体"/>
          <w:sz w:val="24"/>
          <w:szCs w:val="28"/>
          <w:lang w:val="en-US" w:eastAsia="zh-CN"/>
        </w:rPr>
        <w:t>24</w:t>
      </w:r>
      <w:r>
        <w:rPr>
          <w:rFonts w:hint="eastAsia" w:ascii="宋体" w:hAnsi="宋体" w:eastAsia="宋体"/>
          <w:sz w:val="24"/>
          <w:szCs w:val="28"/>
        </w:rPr>
        <w:t>小时内维修人员到场，</w:t>
      </w:r>
      <w:r>
        <w:rPr>
          <w:rFonts w:hint="eastAsia" w:ascii="宋体" w:hAnsi="宋体"/>
          <w:sz w:val="24"/>
          <w:szCs w:val="28"/>
          <w:lang w:val="en-US" w:eastAsia="zh-CN"/>
        </w:rPr>
        <w:t>48</w:t>
      </w:r>
      <w:r>
        <w:rPr>
          <w:rFonts w:hint="eastAsia" w:ascii="宋体" w:hAnsi="宋体" w:eastAsia="宋体"/>
          <w:sz w:val="24"/>
          <w:szCs w:val="28"/>
        </w:rPr>
        <w:t>小时内排除故障。</w:t>
      </w:r>
      <w:r>
        <w:rPr>
          <w:rFonts w:hint="eastAsia" w:ascii="宋体" w:hAnsi="宋体"/>
          <w:sz w:val="24"/>
          <w:szCs w:val="28"/>
          <w:lang w:val="en-US" w:eastAsia="zh-CN"/>
        </w:rPr>
        <w:t>48</w:t>
      </w:r>
      <w:r>
        <w:rPr>
          <w:rFonts w:hint="eastAsia" w:ascii="宋体" w:hAnsi="宋体" w:eastAsia="宋体"/>
          <w:sz w:val="24"/>
          <w:szCs w:val="28"/>
        </w:rPr>
        <w:t>小时内无法排除故障的，须提供代用设备或提出经采购人同意的解决方案。</w:t>
      </w:r>
    </w:p>
    <w:p>
      <w:pPr>
        <w:pStyle w:val="48"/>
        <w:numPr>
          <w:ilvl w:val="1"/>
          <w:numId w:val="4"/>
        </w:numPr>
        <w:tabs>
          <w:tab w:val="left" w:pos="425"/>
        </w:tabs>
        <w:spacing w:line="360" w:lineRule="auto"/>
        <w:ind w:left="-5" w:firstLineChars="0"/>
        <w:rPr>
          <w:rFonts w:ascii="宋体" w:hAnsi="宋体" w:eastAsia="宋体"/>
          <w:sz w:val="24"/>
          <w:szCs w:val="28"/>
        </w:rPr>
      </w:pPr>
      <w:r>
        <w:rPr>
          <w:rFonts w:hint="eastAsia" w:ascii="宋体" w:hAnsi="宋体" w:eastAsia="宋体"/>
          <w:sz w:val="24"/>
          <w:szCs w:val="28"/>
        </w:rPr>
        <w:t>质保期满前1个月内中标人应就所有货物进行一次免费全面检查，并写出正式报告，如发现潜在问题，应负责排除。如出现质量问题，在质保期内对设备进行免费维修和零配件的更换。</w:t>
      </w:r>
    </w:p>
    <w:p>
      <w:pPr>
        <w:pStyle w:val="48"/>
        <w:numPr>
          <w:ilvl w:val="1"/>
          <w:numId w:val="4"/>
        </w:numPr>
        <w:tabs>
          <w:tab w:val="left" w:pos="425"/>
        </w:tabs>
        <w:spacing w:line="360" w:lineRule="auto"/>
        <w:ind w:left="-5" w:firstLineChars="0"/>
        <w:rPr>
          <w:rFonts w:ascii="宋体" w:hAnsi="宋体" w:eastAsia="宋体"/>
          <w:sz w:val="24"/>
          <w:szCs w:val="28"/>
        </w:rPr>
      </w:pPr>
      <w:r>
        <w:rPr>
          <w:rFonts w:hint="eastAsia" w:ascii="宋体" w:hAnsi="宋体" w:eastAsia="宋体"/>
          <w:sz w:val="24"/>
          <w:szCs w:val="28"/>
        </w:rPr>
        <w:t>保修期外的售后服务要求：接到使用单位报修要求，2小时内响应，48小时维修到位（不可抗力情况除外）。消耗品和零配件供应及时，特殊情况下需提供备用机或其他临时解决方案。</w:t>
      </w:r>
    </w:p>
    <w:p>
      <w:pPr>
        <w:pStyle w:val="48"/>
        <w:numPr>
          <w:ilvl w:val="1"/>
          <w:numId w:val="4"/>
        </w:numPr>
        <w:tabs>
          <w:tab w:val="left" w:pos="425"/>
        </w:tabs>
        <w:spacing w:line="360" w:lineRule="auto"/>
        <w:ind w:left="-5" w:firstLineChars="0"/>
        <w:rPr>
          <w:sz w:val="24"/>
          <w:szCs w:val="28"/>
        </w:rPr>
      </w:pPr>
      <w:r>
        <w:rPr>
          <w:rFonts w:hint="eastAsia" w:ascii="宋体" w:hAnsi="宋体" w:eastAsia="宋体"/>
          <w:sz w:val="24"/>
          <w:szCs w:val="28"/>
        </w:rPr>
        <w:t>中标人应承诺能长期提供良好的技术支持及备</w:t>
      </w:r>
      <w:r>
        <w:rPr>
          <w:rFonts w:hint="eastAsia"/>
          <w:sz w:val="24"/>
          <w:szCs w:val="28"/>
        </w:rPr>
        <w:t>品备件的优惠供应，并列出零备件清单及价格表，并详细列明质保期满后零配件的供应价格。</w:t>
      </w:r>
    </w:p>
    <w:p>
      <w:pPr>
        <w:pStyle w:val="48"/>
        <w:numPr>
          <w:ilvl w:val="1"/>
          <w:numId w:val="4"/>
        </w:numPr>
        <w:tabs>
          <w:tab w:val="left" w:pos="425"/>
        </w:tabs>
        <w:spacing w:line="360" w:lineRule="auto"/>
        <w:ind w:left="-5" w:firstLineChars="0"/>
        <w:rPr>
          <w:rFonts w:hint="eastAsia"/>
          <w:sz w:val="24"/>
          <w:szCs w:val="28"/>
        </w:rPr>
      </w:pPr>
      <w:r>
        <w:rPr>
          <w:rFonts w:hint="eastAsia"/>
          <w:sz w:val="24"/>
          <w:szCs w:val="28"/>
        </w:rPr>
        <w:t>软件升级：中标人应向采购人提供仪器的终身软件升级服务。</w:t>
      </w:r>
    </w:p>
    <w:p>
      <w:pPr>
        <w:pStyle w:val="48"/>
        <w:numPr>
          <w:ilvl w:val="1"/>
          <w:numId w:val="4"/>
        </w:numPr>
        <w:tabs>
          <w:tab w:val="left" w:pos="425"/>
        </w:tabs>
        <w:spacing w:line="360" w:lineRule="auto"/>
        <w:ind w:left="-5" w:firstLineChars="0"/>
        <w:rPr>
          <w:sz w:val="24"/>
          <w:szCs w:val="28"/>
        </w:rPr>
      </w:pPr>
      <w:r>
        <w:rPr>
          <w:rFonts w:hint="eastAsia"/>
          <w:sz w:val="24"/>
          <w:szCs w:val="28"/>
        </w:rPr>
        <w:t>质保期后技术服务内容：质保期满后，中标人仍应提供终身的售后服务，维修仅收取零配件费用。</w:t>
      </w:r>
    </w:p>
    <w:p>
      <w:pPr>
        <w:pStyle w:val="48"/>
        <w:numPr>
          <w:ilvl w:val="1"/>
          <w:numId w:val="4"/>
        </w:numPr>
        <w:tabs>
          <w:tab w:val="left" w:pos="425"/>
        </w:tabs>
        <w:spacing w:line="360" w:lineRule="auto"/>
        <w:ind w:left="-5" w:firstLineChars="0"/>
        <w:rPr>
          <w:sz w:val="24"/>
          <w:szCs w:val="28"/>
        </w:rPr>
      </w:pPr>
      <w:r>
        <w:rPr>
          <w:rFonts w:hint="eastAsia"/>
          <w:sz w:val="24"/>
          <w:szCs w:val="28"/>
        </w:rPr>
        <w:t>中标人应提供设备相关的配套技术资料，包括操作手册（中文版）及维修保养手册等。</w:t>
      </w:r>
    </w:p>
    <w:p>
      <w:pPr>
        <w:pStyle w:val="48"/>
        <w:numPr>
          <w:ilvl w:val="1"/>
          <w:numId w:val="4"/>
        </w:numPr>
        <w:tabs>
          <w:tab w:val="left" w:pos="425"/>
        </w:tabs>
        <w:spacing w:line="360" w:lineRule="auto"/>
        <w:ind w:left="-5" w:firstLineChars="0"/>
        <w:rPr>
          <w:sz w:val="24"/>
          <w:szCs w:val="28"/>
        </w:rPr>
      </w:pPr>
      <w:r>
        <w:rPr>
          <w:rFonts w:hint="eastAsia"/>
          <w:sz w:val="24"/>
          <w:szCs w:val="28"/>
        </w:rPr>
        <w:t>培训要求：</w:t>
      </w:r>
    </w:p>
    <w:p>
      <w:pPr>
        <w:pStyle w:val="48"/>
        <w:numPr>
          <w:ilvl w:val="1"/>
          <w:numId w:val="4"/>
        </w:numPr>
        <w:tabs>
          <w:tab w:val="left" w:pos="425"/>
        </w:tabs>
        <w:spacing w:line="360" w:lineRule="auto"/>
        <w:ind w:left="-5" w:firstLineChars="0"/>
        <w:rPr>
          <w:rFonts w:hint="eastAsia" w:ascii="宋体" w:hAnsi="宋体" w:eastAsia="宋体" w:cs="Times New Roman"/>
          <w:sz w:val="24"/>
          <w:szCs w:val="28"/>
        </w:rPr>
      </w:pPr>
      <w:r>
        <w:rPr>
          <w:rFonts w:hint="eastAsia" w:ascii="宋体" w:hAnsi="宋体" w:eastAsia="宋体" w:cs="Times New Roman"/>
          <w:sz w:val="24"/>
          <w:szCs w:val="28"/>
        </w:rPr>
        <w:t>中标人应免费为采购人提供全部设备的操作、使用及维护的技术培训服务，培训人员不少于2人。</w:t>
      </w:r>
    </w:p>
    <w:p>
      <w:pPr>
        <w:pStyle w:val="48"/>
        <w:numPr>
          <w:ilvl w:val="1"/>
          <w:numId w:val="4"/>
        </w:numPr>
        <w:tabs>
          <w:tab w:val="left" w:pos="425"/>
        </w:tabs>
        <w:spacing w:line="360" w:lineRule="auto"/>
        <w:ind w:left="-5" w:firstLineChars="0"/>
        <w:rPr>
          <w:rFonts w:hint="eastAsia" w:ascii="宋体" w:hAnsi="宋体" w:eastAsia="宋体" w:cs="Times New Roman"/>
          <w:sz w:val="24"/>
          <w:szCs w:val="28"/>
        </w:rPr>
      </w:pPr>
      <w:r>
        <w:rPr>
          <w:rFonts w:hint="eastAsia" w:ascii="宋体" w:hAnsi="宋体" w:eastAsia="宋体" w:cs="Times New Roman"/>
          <w:sz w:val="24"/>
          <w:szCs w:val="28"/>
        </w:rPr>
        <w:t>培训人员要求：中标人应派遣经验丰富的工程师作为培训工程师，不仅对设备原理、操作熟悉以外，还应对设备应用的工艺熟悉。</w:t>
      </w:r>
    </w:p>
    <w:p>
      <w:pPr>
        <w:pStyle w:val="48"/>
        <w:numPr>
          <w:ilvl w:val="1"/>
          <w:numId w:val="4"/>
        </w:numPr>
        <w:tabs>
          <w:tab w:val="left" w:pos="425"/>
        </w:tabs>
        <w:spacing w:line="360" w:lineRule="auto"/>
        <w:ind w:left="-5" w:firstLineChars="0"/>
        <w:rPr>
          <w:rFonts w:hint="eastAsia" w:ascii="宋体" w:hAnsi="宋体" w:eastAsia="宋体" w:cs="Times New Roman"/>
          <w:sz w:val="24"/>
          <w:szCs w:val="28"/>
        </w:rPr>
      </w:pPr>
      <w:r>
        <w:rPr>
          <w:rFonts w:hint="eastAsia" w:ascii="宋体" w:hAnsi="宋体" w:eastAsia="宋体" w:cs="Times New Roman"/>
          <w:sz w:val="24"/>
          <w:szCs w:val="28"/>
        </w:rPr>
        <w:t>培训目标：使采购人相关人员能掌握有关系统设备的使用、维护和管理，达到能独立进行操作、日常测试维护等工作的目的，除此之外，应提供常用工艺流程参数的指导。</w:t>
      </w:r>
    </w:p>
    <w:p>
      <w:pPr>
        <w:pStyle w:val="48"/>
        <w:numPr>
          <w:ilvl w:val="1"/>
          <w:numId w:val="4"/>
        </w:numPr>
        <w:tabs>
          <w:tab w:val="left" w:pos="425"/>
        </w:tabs>
        <w:spacing w:line="360" w:lineRule="auto"/>
        <w:ind w:left="-5" w:firstLineChars="0"/>
        <w:rPr>
          <w:rFonts w:hint="eastAsia" w:ascii="宋体" w:hAnsi="宋体" w:eastAsia="宋体" w:cs="Times New Roman"/>
          <w:sz w:val="24"/>
          <w:szCs w:val="28"/>
        </w:rPr>
      </w:pPr>
      <w:r>
        <w:rPr>
          <w:rFonts w:hint="eastAsia" w:ascii="宋体" w:hAnsi="宋体" w:eastAsia="宋体" w:cs="Times New Roman"/>
          <w:sz w:val="24"/>
          <w:szCs w:val="28"/>
        </w:rPr>
        <w:t>中标人应提供详细的培训课程讲义及培训进度计划表。内容包括：基本原理、操作、软件的使用、维护、安全要点等。</w:t>
      </w:r>
    </w:p>
    <w:p>
      <w:pPr>
        <w:pStyle w:val="48"/>
        <w:numPr>
          <w:ilvl w:val="1"/>
          <w:numId w:val="4"/>
        </w:numPr>
        <w:tabs>
          <w:tab w:val="left" w:pos="425"/>
        </w:tabs>
        <w:spacing w:line="360" w:lineRule="auto"/>
        <w:ind w:left="-5" w:firstLineChars="0"/>
        <w:rPr>
          <w:rFonts w:hint="eastAsia" w:ascii="宋体" w:hAnsi="宋体" w:eastAsia="宋体" w:cs="Times New Roman"/>
          <w:sz w:val="24"/>
          <w:szCs w:val="28"/>
        </w:rPr>
      </w:pPr>
      <w:r>
        <w:rPr>
          <w:rFonts w:hint="eastAsia" w:ascii="宋体" w:hAnsi="宋体" w:eastAsia="宋体" w:cs="Times New Roman"/>
          <w:sz w:val="24"/>
          <w:szCs w:val="28"/>
        </w:rPr>
        <w:t>质保期外，可为采购人量身定制培训课程，通用培训主要内容有：设备软硬件构造培训、设备日常操作培训、设备常见问题处理培训、设备工艺调试培训和设备相关原理培训等。</w:t>
      </w:r>
    </w:p>
    <w:p>
      <w:pPr>
        <w:pStyle w:val="48"/>
        <w:numPr>
          <w:ilvl w:val="1"/>
          <w:numId w:val="4"/>
        </w:numPr>
        <w:tabs>
          <w:tab w:val="left" w:pos="425"/>
        </w:tabs>
        <w:spacing w:line="360" w:lineRule="auto"/>
        <w:ind w:left="-5" w:firstLineChars="0"/>
        <w:rPr>
          <w:sz w:val="24"/>
          <w:szCs w:val="28"/>
        </w:rPr>
      </w:pPr>
      <w:r>
        <w:rPr>
          <w:rFonts w:hint="eastAsia" w:ascii="宋体" w:hAnsi="宋体" w:eastAsia="宋体" w:cs="Times New Roman"/>
          <w:sz w:val="24"/>
          <w:szCs w:val="28"/>
        </w:rPr>
        <w:t>投标人认为有利于采购人的</w:t>
      </w:r>
      <w:r>
        <w:rPr>
          <w:rFonts w:hint="eastAsia"/>
          <w:sz w:val="24"/>
          <w:szCs w:val="28"/>
        </w:rPr>
        <w:t>其他优惠条款应单独列明。</w:t>
      </w:r>
    </w:p>
    <w:p>
      <w:pPr>
        <w:pStyle w:val="48"/>
        <w:widowControl/>
        <w:numPr>
          <w:ilvl w:val="0"/>
          <w:numId w:val="4"/>
        </w:numPr>
        <w:tabs>
          <w:tab w:val="left" w:pos="425"/>
        </w:tabs>
        <w:spacing w:line="360" w:lineRule="auto"/>
        <w:ind w:left="425" w:hanging="425" w:firstLineChars="0"/>
        <w:jc w:val="left"/>
        <w:rPr>
          <w:rFonts w:hint="eastAsia" w:ascii="黑体" w:hAnsi="黑体" w:eastAsia="黑体" w:cs="Times New Roman"/>
          <w:b/>
          <w:bCs/>
          <w:kern w:val="2"/>
          <w:sz w:val="28"/>
          <w:szCs w:val="28"/>
        </w:rPr>
      </w:pPr>
      <w:r>
        <w:rPr>
          <w:rFonts w:hint="eastAsia" w:ascii="黑体" w:hAnsi="黑体" w:eastAsia="黑体" w:cs="Times New Roman"/>
          <w:b/>
          <w:bCs/>
          <w:kern w:val="2"/>
          <w:sz w:val="28"/>
          <w:szCs w:val="28"/>
        </w:rPr>
        <w:t>报价要求</w:t>
      </w:r>
    </w:p>
    <w:p>
      <w:pPr>
        <w:pStyle w:val="48"/>
        <w:numPr>
          <w:ilvl w:val="1"/>
          <w:numId w:val="4"/>
        </w:numPr>
        <w:tabs>
          <w:tab w:val="left" w:pos="425"/>
        </w:tabs>
        <w:spacing w:line="360" w:lineRule="auto"/>
        <w:ind w:left="-5" w:firstLineChars="0"/>
        <w:rPr>
          <w:rFonts w:ascii="宋体" w:hAnsi="宋体" w:eastAsia="宋体" w:cs="宋体"/>
          <w:b/>
          <w:bCs/>
          <w:kern w:val="0"/>
          <w:sz w:val="24"/>
          <w:szCs w:val="24"/>
        </w:rPr>
      </w:pPr>
      <w:r>
        <w:rPr>
          <w:rFonts w:hint="eastAsia" w:ascii="宋体" w:hAnsi="宋体" w:eastAsia="宋体" w:cs="宋体"/>
          <w:b/>
          <w:bCs/>
          <w:kern w:val="0"/>
          <w:sz w:val="24"/>
          <w:szCs w:val="24"/>
        </w:rPr>
        <w:t>因系统不支持分项报价，投标人应根据本项目实际情况编辑投标分项报价表，在客户端系统中的“附加分—节能、环境标志产品”模块上传完整的《投标文件报价部分》，未按要求提交完整的《投标文件报价部分》，由此产生的不利后果由投标人自行承担。</w:t>
      </w:r>
    </w:p>
    <w:p>
      <w:pPr>
        <w:pStyle w:val="48"/>
        <w:widowControl/>
        <w:numPr>
          <w:ilvl w:val="1"/>
          <w:numId w:val="4"/>
        </w:numPr>
        <w:tabs>
          <w:tab w:val="left" w:pos="425"/>
        </w:tabs>
        <w:spacing w:line="360" w:lineRule="auto"/>
        <w:ind w:left="-5" w:firstLine="482" w:firstLineChars="0"/>
        <w:jc w:val="left"/>
        <w:rPr>
          <w:rFonts w:hint="eastAsia" w:ascii="宋体" w:hAnsi="宋体" w:eastAsia="宋体" w:cs="宋体"/>
          <w:b/>
          <w:bCs/>
          <w:kern w:val="0"/>
          <w:sz w:val="24"/>
          <w:szCs w:val="28"/>
        </w:rPr>
      </w:pPr>
      <w:r>
        <w:rPr>
          <w:rFonts w:hint="eastAsia" w:ascii="宋体" w:hAnsi="宋体" w:eastAsia="宋体" w:cs="宋体"/>
          <w:b/>
          <w:bCs/>
          <w:kern w:val="0"/>
          <w:sz w:val="24"/>
          <w:szCs w:val="28"/>
        </w:rPr>
        <w:t>本次招标为整体招标，投标人必须对所投的所有货物及服务进行完整报价响应。</w:t>
      </w:r>
    </w:p>
    <w:p>
      <w:pPr>
        <w:pStyle w:val="48"/>
        <w:widowControl/>
        <w:numPr>
          <w:ilvl w:val="1"/>
          <w:numId w:val="4"/>
        </w:numPr>
        <w:tabs>
          <w:tab w:val="left" w:pos="425"/>
        </w:tabs>
        <w:spacing w:line="360" w:lineRule="auto"/>
        <w:ind w:left="-5" w:firstLine="482" w:firstLineChars="0"/>
        <w:jc w:val="left"/>
        <w:rPr>
          <w:rFonts w:hint="eastAsia" w:ascii="宋体" w:hAnsi="宋体" w:eastAsia="宋体" w:cs="宋体"/>
          <w:b/>
          <w:bCs/>
          <w:kern w:val="0"/>
          <w:sz w:val="24"/>
          <w:szCs w:val="28"/>
        </w:rPr>
      </w:pPr>
      <w:r>
        <w:rPr>
          <w:rFonts w:hint="eastAsia" w:ascii="宋体" w:hAnsi="宋体" w:eastAsia="宋体" w:cs="宋体"/>
          <w:b/>
          <w:bCs/>
          <w:kern w:val="0"/>
          <w:sz w:val="24"/>
          <w:szCs w:val="28"/>
        </w:rPr>
        <w:t>报价以人民币为货币单位，应分单价、小计和总价。</w:t>
      </w:r>
    </w:p>
    <w:p>
      <w:pPr>
        <w:pStyle w:val="48"/>
        <w:widowControl/>
        <w:numPr>
          <w:ilvl w:val="1"/>
          <w:numId w:val="4"/>
        </w:numPr>
        <w:tabs>
          <w:tab w:val="left" w:pos="425"/>
        </w:tabs>
        <w:spacing w:line="360" w:lineRule="auto"/>
        <w:ind w:left="-5" w:firstLine="482" w:firstLineChars="0"/>
        <w:jc w:val="left"/>
        <w:rPr>
          <w:rFonts w:hint="eastAsia" w:ascii="宋体" w:hAnsi="宋体" w:eastAsia="宋体" w:cs="宋体"/>
          <w:b/>
          <w:bCs/>
          <w:kern w:val="0"/>
          <w:sz w:val="24"/>
          <w:szCs w:val="28"/>
        </w:rPr>
      </w:pPr>
      <w:r>
        <w:rPr>
          <w:rFonts w:hint="eastAsia" w:ascii="宋体" w:hAnsi="宋体" w:eastAsia="宋体" w:cs="宋体"/>
          <w:b/>
          <w:bCs/>
          <w:kern w:val="0"/>
          <w:sz w:val="24"/>
          <w:szCs w:val="28"/>
        </w:rPr>
        <w:t>本项目为交钥匙项目，所述产品及技术要求，应视为保证项目投入使用所需的最低要求，投标总价为投标货物经采购人验收合格并交付使用所有可能发生的费用，包括货物主体（</w:t>
      </w:r>
      <w:r>
        <w:rPr>
          <w:rFonts w:hint="eastAsia" w:ascii="宋体" w:hAnsi="宋体" w:cs="宋体"/>
          <w:b/>
          <w:bCs/>
          <w:kern w:val="0"/>
          <w:sz w:val="24"/>
          <w:szCs w:val="28"/>
          <w:lang w:val="en-US" w:eastAsia="zh-CN"/>
        </w:rPr>
        <w:t>含设备、配件</w:t>
      </w:r>
      <w:r>
        <w:rPr>
          <w:rFonts w:hint="eastAsia" w:ascii="宋体" w:hAnsi="宋体" w:eastAsia="宋体" w:cs="宋体"/>
          <w:b/>
          <w:bCs/>
          <w:kern w:val="0"/>
          <w:sz w:val="24"/>
          <w:szCs w:val="28"/>
        </w:rPr>
        <w:t>、</w:t>
      </w:r>
      <w:r>
        <w:rPr>
          <w:rFonts w:hint="eastAsia" w:ascii="宋体" w:hAnsi="宋体" w:cs="宋体"/>
          <w:b/>
          <w:bCs/>
          <w:kern w:val="0"/>
          <w:sz w:val="24"/>
          <w:szCs w:val="28"/>
          <w:lang w:val="en-US" w:eastAsia="zh-CN"/>
        </w:rPr>
        <w:t>辅助材料</w:t>
      </w:r>
      <w:r>
        <w:rPr>
          <w:rFonts w:hint="eastAsia" w:ascii="宋体" w:hAnsi="宋体" w:eastAsia="宋体" w:cs="宋体"/>
          <w:b/>
          <w:bCs/>
          <w:kern w:val="0"/>
          <w:sz w:val="24"/>
          <w:szCs w:val="28"/>
        </w:rPr>
        <w:t>）供应、运输、保险费、采购保管、安装</w:t>
      </w:r>
      <w:r>
        <w:rPr>
          <w:rFonts w:hint="eastAsia" w:ascii="宋体" w:hAnsi="宋体" w:cs="宋体"/>
          <w:b/>
          <w:bCs/>
          <w:kern w:val="0"/>
          <w:sz w:val="24"/>
          <w:szCs w:val="28"/>
          <w:lang w:eastAsia="zh-CN"/>
        </w:rPr>
        <w:t>、</w:t>
      </w:r>
      <w:r>
        <w:rPr>
          <w:rFonts w:hint="eastAsia" w:ascii="宋体" w:hAnsi="宋体" w:eastAsia="宋体" w:cs="宋体"/>
          <w:b/>
          <w:bCs/>
          <w:kern w:val="0"/>
          <w:sz w:val="24"/>
          <w:szCs w:val="28"/>
        </w:rPr>
        <w:t>调试</w:t>
      </w:r>
      <w:r>
        <w:rPr>
          <w:rFonts w:hint="eastAsia" w:ascii="宋体" w:hAnsi="宋体" w:cs="宋体"/>
          <w:b/>
          <w:bCs/>
          <w:kern w:val="0"/>
          <w:sz w:val="24"/>
          <w:szCs w:val="28"/>
          <w:lang w:eastAsia="zh-CN"/>
        </w:rPr>
        <w:t>、</w:t>
      </w:r>
      <w:r>
        <w:rPr>
          <w:rFonts w:hint="eastAsia" w:ascii="宋体" w:hAnsi="宋体" w:cs="宋体"/>
          <w:b/>
          <w:bCs/>
          <w:kern w:val="0"/>
          <w:sz w:val="24"/>
          <w:szCs w:val="28"/>
          <w:lang w:val="en-US" w:eastAsia="zh-CN"/>
        </w:rPr>
        <w:t>系统集成、</w:t>
      </w:r>
      <w:r>
        <w:rPr>
          <w:rFonts w:hint="eastAsia" w:ascii="宋体" w:hAnsi="宋体" w:eastAsia="宋体" w:cs="宋体"/>
          <w:b/>
          <w:bCs/>
          <w:kern w:val="0"/>
          <w:sz w:val="24"/>
          <w:szCs w:val="28"/>
        </w:rPr>
        <w:t>产品检验检测、验收、</w:t>
      </w:r>
      <w:r>
        <w:rPr>
          <w:rFonts w:hint="eastAsia" w:ascii="宋体" w:hAnsi="宋体" w:cs="宋体"/>
          <w:b/>
          <w:bCs/>
          <w:kern w:val="0"/>
          <w:sz w:val="24"/>
          <w:szCs w:val="28"/>
          <w:lang w:val="en-US" w:eastAsia="zh-CN"/>
        </w:rPr>
        <w:t>操作</w:t>
      </w:r>
      <w:r>
        <w:rPr>
          <w:rFonts w:hint="eastAsia" w:ascii="宋体" w:hAnsi="宋体" w:eastAsia="宋体" w:cs="宋体"/>
          <w:b/>
          <w:bCs/>
          <w:kern w:val="0"/>
          <w:sz w:val="24"/>
          <w:szCs w:val="28"/>
        </w:rPr>
        <w:t>人员培训、</w:t>
      </w:r>
      <w:r>
        <w:rPr>
          <w:rFonts w:hint="eastAsia" w:ascii="宋体" w:hAnsi="宋体" w:cs="宋体"/>
          <w:b/>
          <w:bCs/>
          <w:kern w:val="0"/>
          <w:sz w:val="24"/>
          <w:szCs w:val="28"/>
          <w:lang w:val="en-US" w:eastAsia="zh-CN"/>
        </w:rPr>
        <w:t>第三方检测费用、</w:t>
      </w:r>
      <w:r>
        <w:rPr>
          <w:rFonts w:hint="eastAsia" w:ascii="宋体" w:hAnsi="宋体" w:eastAsia="宋体" w:cs="宋体"/>
          <w:b/>
          <w:bCs/>
          <w:kern w:val="0"/>
          <w:sz w:val="24"/>
          <w:szCs w:val="28"/>
        </w:rPr>
        <w:t>人工费、税</w:t>
      </w:r>
      <w:r>
        <w:rPr>
          <w:rFonts w:hint="eastAsia" w:ascii="宋体" w:hAnsi="宋体" w:cs="宋体"/>
          <w:b/>
          <w:bCs/>
          <w:kern w:val="0"/>
          <w:sz w:val="24"/>
          <w:szCs w:val="28"/>
          <w:lang w:val="en-US" w:eastAsia="zh-CN"/>
        </w:rPr>
        <w:t>金</w:t>
      </w:r>
      <w:r>
        <w:rPr>
          <w:rFonts w:hint="eastAsia" w:ascii="宋体" w:hAnsi="宋体" w:eastAsia="宋体" w:cs="宋体"/>
          <w:b/>
          <w:bCs/>
          <w:kern w:val="0"/>
          <w:sz w:val="24"/>
          <w:szCs w:val="28"/>
        </w:rPr>
        <w:t>、保修费、售后服务以及可能漏项漏报等的一切费用，采购人无需再向投标人支付其他任何费用。</w:t>
      </w:r>
    </w:p>
    <w:p>
      <w:pPr>
        <w:pStyle w:val="48"/>
        <w:widowControl/>
        <w:numPr>
          <w:ilvl w:val="1"/>
          <w:numId w:val="4"/>
        </w:numPr>
        <w:tabs>
          <w:tab w:val="left" w:pos="425"/>
        </w:tabs>
        <w:spacing w:line="360" w:lineRule="auto"/>
        <w:ind w:left="-5" w:firstLine="482" w:firstLineChars="0"/>
        <w:jc w:val="left"/>
        <w:rPr>
          <w:rFonts w:hint="eastAsia" w:ascii="宋体" w:hAnsi="宋体" w:eastAsia="宋体" w:cs="宋体"/>
          <w:b/>
          <w:bCs/>
          <w:kern w:val="0"/>
          <w:sz w:val="24"/>
          <w:szCs w:val="28"/>
        </w:rPr>
      </w:pPr>
      <w:r>
        <w:rPr>
          <w:rFonts w:hint="eastAsia" w:ascii="宋体" w:hAnsi="宋体" w:eastAsia="宋体" w:cs="宋体"/>
          <w:b/>
          <w:bCs/>
          <w:kern w:val="0"/>
          <w:sz w:val="24"/>
          <w:szCs w:val="28"/>
        </w:rPr>
        <w:t>投标人漏报的单价或每单价报价中漏报、少报的费用，视为此项费用已隐含在投标报价中，中标后不得再向招标人收取任何费用。</w:t>
      </w:r>
    </w:p>
    <w:p>
      <w:pPr>
        <w:pStyle w:val="48"/>
        <w:widowControl/>
        <w:numPr>
          <w:ilvl w:val="1"/>
          <w:numId w:val="4"/>
        </w:numPr>
        <w:tabs>
          <w:tab w:val="left" w:pos="425"/>
        </w:tabs>
        <w:spacing w:line="360" w:lineRule="auto"/>
        <w:ind w:left="-5" w:firstLine="482" w:firstLineChars="0"/>
        <w:jc w:val="left"/>
        <w:rPr>
          <w:rFonts w:ascii="宋体" w:hAnsi="宋体" w:eastAsia="宋体" w:cs="宋体"/>
          <w:b/>
          <w:bCs/>
          <w:kern w:val="0"/>
          <w:sz w:val="24"/>
          <w:szCs w:val="28"/>
        </w:rPr>
      </w:pPr>
      <w:r>
        <w:rPr>
          <w:rFonts w:hint="eastAsia" w:ascii="宋体" w:hAnsi="宋体" w:eastAsia="宋体" w:cs="宋体"/>
          <w:b/>
          <w:bCs/>
          <w:kern w:val="0"/>
          <w:sz w:val="24"/>
          <w:szCs w:val="28"/>
        </w:rPr>
        <w:t>投标人对本项目只能有一个报价，招标采购单位不接受有选择的报价。</w:t>
      </w:r>
    </w:p>
    <w:p>
      <w:pPr>
        <w:pStyle w:val="48"/>
        <w:numPr>
          <w:ilvl w:val="0"/>
          <w:numId w:val="4"/>
        </w:numPr>
        <w:tabs>
          <w:tab w:val="left" w:pos="425"/>
        </w:tabs>
        <w:spacing w:line="360" w:lineRule="auto"/>
        <w:ind w:firstLineChars="0"/>
        <w:rPr>
          <w:rFonts w:ascii="黑体" w:hAnsi="黑体" w:eastAsia="黑体"/>
          <w:b/>
          <w:bCs/>
          <w:sz w:val="28"/>
          <w:szCs w:val="28"/>
        </w:rPr>
      </w:pPr>
      <w:r>
        <w:rPr>
          <w:rFonts w:hint="eastAsia" w:ascii="黑体" w:hAnsi="黑体" w:eastAsia="黑体"/>
          <w:b/>
          <w:bCs/>
          <w:sz w:val="28"/>
          <w:szCs w:val="28"/>
        </w:rPr>
        <w:t>包装和运输要求</w:t>
      </w:r>
    </w:p>
    <w:p>
      <w:pPr>
        <w:pStyle w:val="48"/>
        <w:numPr>
          <w:ilvl w:val="1"/>
          <w:numId w:val="4"/>
        </w:numPr>
        <w:tabs>
          <w:tab w:val="left" w:pos="425"/>
        </w:tabs>
        <w:spacing w:line="360" w:lineRule="auto"/>
        <w:ind w:left="-5" w:firstLineChars="0"/>
        <w:rPr>
          <w:sz w:val="24"/>
          <w:szCs w:val="28"/>
        </w:rPr>
      </w:pPr>
      <w:r>
        <w:rPr>
          <w:rFonts w:hint="eastAsia"/>
          <w:sz w:val="24"/>
          <w:szCs w:val="28"/>
        </w:rPr>
        <w:t>包装：供应商提供产品及相关快递服务等的具体包装要求应参考《商品包装政府采购需求标准（试行）》、《快递包装政府采购需求标准（试行）》等国家有关标准要求。</w:t>
      </w:r>
    </w:p>
    <w:p>
      <w:pPr>
        <w:pStyle w:val="48"/>
        <w:numPr>
          <w:ilvl w:val="1"/>
          <w:numId w:val="4"/>
        </w:numPr>
        <w:tabs>
          <w:tab w:val="left" w:pos="425"/>
        </w:tabs>
        <w:spacing w:line="360" w:lineRule="auto"/>
        <w:ind w:left="-5" w:firstLineChars="0"/>
        <w:rPr>
          <w:sz w:val="24"/>
          <w:szCs w:val="28"/>
        </w:rPr>
      </w:pPr>
      <w:r>
        <w:rPr>
          <w:rFonts w:hint="eastAsia"/>
          <w:sz w:val="24"/>
          <w:szCs w:val="28"/>
        </w:rPr>
        <w:t>包装必须与运输方式相适应，包装方式的确定及包装费用均由中标人负责；由于不适当的包装而造成货物在运输过程中有任何损坏由中标人负责。</w:t>
      </w:r>
    </w:p>
    <w:p>
      <w:pPr>
        <w:pStyle w:val="48"/>
        <w:numPr>
          <w:ilvl w:val="1"/>
          <w:numId w:val="4"/>
        </w:numPr>
        <w:tabs>
          <w:tab w:val="left" w:pos="425"/>
        </w:tabs>
        <w:spacing w:line="360" w:lineRule="auto"/>
        <w:ind w:left="-5" w:firstLineChars="0"/>
        <w:rPr>
          <w:sz w:val="24"/>
          <w:szCs w:val="28"/>
        </w:rPr>
      </w:pPr>
      <w:r>
        <w:rPr>
          <w:rFonts w:hint="eastAsia"/>
          <w:sz w:val="24"/>
          <w:szCs w:val="28"/>
        </w:rPr>
        <w:t>包装应足以承受整个过程中的运输、转运、装卸、储存等，充分考虑到运输途中的各种情况</w:t>
      </w:r>
      <w:r>
        <w:rPr>
          <w:sz w:val="24"/>
          <w:szCs w:val="28"/>
        </w:rPr>
        <w:t>(</w:t>
      </w:r>
      <w:r>
        <w:rPr>
          <w:rFonts w:hint="eastAsia"/>
          <w:sz w:val="24"/>
          <w:szCs w:val="28"/>
        </w:rPr>
        <w:t>如暴露于恶劣气候等</w:t>
      </w:r>
      <w:r>
        <w:rPr>
          <w:sz w:val="24"/>
          <w:szCs w:val="28"/>
        </w:rPr>
        <w:t>)</w:t>
      </w:r>
      <w:r>
        <w:rPr>
          <w:rFonts w:hint="eastAsia"/>
          <w:sz w:val="24"/>
          <w:szCs w:val="28"/>
        </w:rPr>
        <w:t>和交付地区的气候特点，以及可能露天存放的需要。</w:t>
      </w:r>
    </w:p>
    <w:p>
      <w:pPr>
        <w:pStyle w:val="48"/>
        <w:numPr>
          <w:ilvl w:val="1"/>
          <w:numId w:val="4"/>
        </w:numPr>
        <w:tabs>
          <w:tab w:val="left" w:pos="425"/>
        </w:tabs>
        <w:spacing w:line="360" w:lineRule="auto"/>
        <w:ind w:left="-5" w:firstLineChars="0"/>
        <w:rPr>
          <w:sz w:val="24"/>
          <w:szCs w:val="28"/>
        </w:rPr>
      </w:pPr>
      <w:r>
        <w:rPr>
          <w:rFonts w:hint="eastAsia"/>
          <w:sz w:val="24"/>
          <w:szCs w:val="28"/>
        </w:rPr>
        <w:t>专用工具及备品备件应分别包装，并在包装箱外加以注明其用处。</w:t>
      </w:r>
    </w:p>
    <w:p>
      <w:pPr>
        <w:pStyle w:val="48"/>
        <w:numPr>
          <w:ilvl w:val="1"/>
          <w:numId w:val="4"/>
        </w:numPr>
        <w:tabs>
          <w:tab w:val="left" w:pos="425"/>
        </w:tabs>
        <w:spacing w:line="360" w:lineRule="auto"/>
        <w:ind w:left="-5" w:firstLineChars="0"/>
        <w:rPr>
          <w:sz w:val="24"/>
          <w:szCs w:val="28"/>
        </w:rPr>
      </w:pPr>
      <w:r>
        <w:rPr>
          <w:rFonts w:hint="eastAsia"/>
          <w:sz w:val="24"/>
          <w:szCs w:val="28"/>
        </w:rPr>
        <w:t>中标人负责将所有中标货物送至采购人指定地点。</w:t>
      </w:r>
    </w:p>
    <w:p>
      <w:pPr>
        <w:pStyle w:val="48"/>
        <w:numPr>
          <w:ilvl w:val="0"/>
          <w:numId w:val="4"/>
        </w:numPr>
        <w:tabs>
          <w:tab w:val="left" w:pos="425"/>
        </w:tabs>
        <w:spacing w:line="360" w:lineRule="auto"/>
        <w:ind w:firstLineChars="0"/>
        <w:rPr>
          <w:rFonts w:hint="eastAsia" w:ascii="黑体" w:hAnsi="黑体" w:eastAsia="黑体" w:cs="Times New Roman"/>
          <w:b/>
          <w:bCs/>
          <w:kern w:val="2"/>
          <w:sz w:val="28"/>
          <w:szCs w:val="28"/>
        </w:rPr>
      </w:pPr>
      <w:r>
        <w:rPr>
          <w:rFonts w:hint="eastAsia" w:ascii="黑体" w:hAnsi="黑体" w:eastAsia="黑体" w:cs="Times New Roman"/>
          <w:b/>
          <w:bCs/>
          <w:kern w:val="2"/>
          <w:sz w:val="28"/>
          <w:szCs w:val="28"/>
        </w:rPr>
        <w:t>商务条件响应要求</w:t>
      </w:r>
    </w:p>
    <w:p>
      <w:pPr>
        <w:pStyle w:val="48"/>
        <w:numPr>
          <w:ilvl w:val="1"/>
          <w:numId w:val="4"/>
        </w:numPr>
        <w:tabs>
          <w:tab w:val="left" w:pos="425"/>
        </w:tabs>
        <w:spacing w:line="360" w:lineRule="auto"/>
        <w:ind w:left="-5" w:firstLineChars="0"/>
        <w:rPr>
          <w:rFonts w:hint="eastAsia" w:ascii="Calibri" w:hAnsi="Calibri" w:eastAsia="宋体" w:cs="Times New Roman"/>
          <w:bCs w:val="0"/>
          <w:kern w:val="2"/>
          <w:sz w:val="24"/>
          <w:szCs w:val="28"/>
          <w:highlight w:val="none"/>
        </w:rPr>
      </w:pPr>
      <w:r>
        <w:rPr>
          <w:rFonts w:hint="eastAsia" w:ascii="Calibri" w:hAnsi="Calibri" w:eastAsia="宋体" w:cs="Times New Roman"/>
          <w:bCs w:val="0"/>
          <w:kern w:val="2"/>
          <w:sz w:val="24"/>
          <w:szCs w:val="28"/>
          <w:highlight w:val="none"/>
        </w:rPr>
        <w:t>投标人应根据商务条件要求及商务项评分条款提供相应的交付时间、售后服务、认证等证书、业绩经验，</w:t>
      </w:r>
      <w:r>
        <w:rPr>
          <w:rFonts w:hint="eastAsia" w:ascii="Calibri" w:hAnsi="Calibri" w:eastAsia="宋体" w:cs="Times New Roman"/>
          <w:sz w:val="24"/>
          <w:szCs w:val="28"/>
          <w:highlight w:val="none"/>
        </w:rPr>
        <w:t>并按要求提供相应的佐证材料，</w:t>
      </w:r>
      <w:r>
        <w:rPr>
          <w:rFonts w:hint="eastAsia" w:ascii="Calibri" w:hAnsi="Calibri" w:eastAsia="宋体" w:cs="Times New Roman"/>
          <w:bCs w:val="0"/>
          <w:kern w:val="2"/>
          <w:sz w:val="24"/>
          <w:szCs w:val="28"/>
          <w:highlight w:val="none"/>
        </w:rPr>
        <w:t>未按要求提供的将可能导致不得分。</w:t>
      </w:r>
    </w:p>
    <w:p>
      <w:pPr>
        <w:pStyle w:val="48"/>
        <w:numPr>
          <w:ilvl w:val="0"/>
          <w:numId w:val="4"/>
        </w:numPr>
        <w:tabs>
          <w:tab w:val="left" w:pos="425"/>
        </w:tabs>
        <w:spacing w:line="240" w:lineRule="auto"/>
        <w:ind w:firstLineChars="0"/>
        <w:rPr>
          <w:rFonts w:hint="eastAsia" w:ascii="黑体" w:hAnsi="黑体" w:eastAsia="黑体" w:cs="Times New Roman"/>
          <w:b/>
          <w:bCs/>
          <w:sz w:val="28"/>
          <w:szCs w:val="28"/>
          <w:highlight w:val="none"/>
          <w:lang w:val="en-US" w:eastAsia="zh-CN"/>
        </w:rPr>
      </w:pPr>
      <w:r>
        <w:rPr>
          <w:rFonts w:hint="eastAsia" w:ascii="黑体" w:hAnsi="黑体" w:eastAsia="黑体" w:cs="Times New Roman"/>
          <w:b/>
          <w:bCs/>
          <w:sz w:val="28"/>
          <w:szCs w:val="28"/>
          <w:highlight w:val="none"/>
          <w:lang w:val="en-US" w:eastAsia="zh-CN"/>
        </w:rPr>
        <w:t>廉洁要求</w:t>
      </w:r>
    </w:p>
    <w:p>
      <w:pPr>
        <w:pStyle w:val="48"/>
        <w:numPr>
          <w:ilvl w:val="1"/>
          <w:numId w:val="4"/>
        </w:numPr>
        <w:tabs>
          <w:tab w:val="left" w:pos="425"/>
        </w:tabs>
        <w:spacing w:line="360" w:lineRule="auto"/>
        <w:ind w:left="-5" w:firstLineChars="0"/>
        <w:rPr>
          <w:rFonts w:hint="eastAsia" w:ascii="Calibri" w:hAnsi="Calibri" w:eastAsia="宋体" w:cs="Times New Roman"/>
          <w:kern w:val="2"/>
          <w:sz w:val="24"/>
          <w:szCs w:val="28"/>
          <w:highlight w:val="none"/>
        </w:rPr>
      </w:pPr>
      <w:r>
        <w:rPr>
          <w:rFonts w:hint="eastAsia" w:ascii="Calibri" w:hAnsi="Calibri" w:eastAsia="宋体" w:cs="Times New Roman"/>
          <w:kern w:val="2"/>
          <w:sz w:val="24"/>
          <w:szCs w:val="28"/>
          <w:highlight w:val="none"/>
        </w:rPr>
        <w:t>中标人承诺严格按照《廉洁告知书》相关内容履行，不向采购人及相关人员直接或间接进行商业贿赂。</w:t>
      </w:r>
    </w:p>
    <w:p>
      <w:pPr>
        <w:pStyle w:val="48"/>
        <w:numPr>
          <w:ilvl w:val="1"/>
          <w:numId w:val="4"/>
        </w:numPr>
        <w:tabs>
          <w:tab w:val="left" w:pos="425"/>
        </w:tabs>
        <w:spacing w:line="360" w:lineRule="auto"/>
        <w:ind w:left="-5" w:firstLineChars="0"/>
        <w:rPr>
          <w:rFonts w:hint="eastAsia" w:ascii="Calibri" w:hAnsi="Calibri" w:eastAsia="宋体" w:cs="Times New Roman"/>
          <w:kern w:val="2"/>
          <w:sz w:val="24"/>
          <w:szCs w:val="28"/>
          <w:highlight w:val="none"/>
        </w:rPr>
      </w:pPr>
      <w:r>
        <w:rPr>
          <w:rFonts w:hint="eastAsia" w:ascii="Calibri" w:hAnsi="Calibri" w:eastAsia="宋体" w:cs="Times New Roman"/>
          <w:kern w:val="2"/>
          <w:sz w:val="24"/>
          <w:szCs w:val="28"/>
          <w:highlight w:val="none"/>
        </w:rPr>
        <w:t>中标人发现采购人工作人员有任何索贿行动的，应向有关行业主管部门或纪检监察部门反映情况。</w:t>
      </w:r>
    </w:p>
    <w:p>
      <w:pPr>
        <w:pStyle w:val="48"/>
        <w:numPr>
          <w:ilvl w:val="1"/>
          <w:numId w:val="4"/>
        </w:numPr>
        <w:tabs>
          <w:tab w:val="left" w:pos="425"/>
        </w:tabs>
        <w:spacing w:line="360" w:lineRule="auto"/>
        <w:ind w:left="-5" w:firstLineChars="0"/>
        <w:rPr>
          <w:rFonts w:hint="eastAsia" w:ascii="Calibri" w:hAnsi="Calibri" w:eastAsia="宋体" w:cs="Times New Roman"/>
          <w:kern w:val="2"/>
          <w:sz w:val="24"/>
          <w:szCs w:val="28"/>
          <w:highlight w:val="none"/>
        </w:rPr>
      </w:pPr>
      <w:r>
        <w:rPr>
          <w:rFonts w:hint="eastAsia" w:ascii="Calibri" w:hAnsi="Calibri" w:eastAsia="宋体" w:cs="Times New Roman"/>
          <w:kern w:val="2"/>
          <w:sz w:val="24"/>
          <w:szCs w:val="28"/>
          <w:highlight w:val="none"/>
        </w:rPr>
        <w:t>中标人违反《廉洁告知书》相关内容的，严格按《廉洁告知书》规定承担相关责任。</w:t>
      </w:r>
    </w:p>
    <w:p>
      <w:pPr>
        <w:pStyle w:val="48"/>
        <w:numPr>
          <w:ilvl w:val="1"/>
          <w:numId w:val="4"/>
        </w:numPr>
        <w:tabs>
          <w:tab w:val="left" w:pos="425"/>
        </w:tabs>
        <w:spacing w:line="360" w:lineRule="auto"/>
        <w:ind w:left="-5" w:firstLineChars="0"/>
        <w:rPr>
          <w:rFonts w:hint="eastAsia" w:ascii="Calibri" w:hAnsi="Calibri" w:eastAsia="宋体" w:cs="Times New Roman"/>
          <w:kern w:val="2"/>
          <w:sz w:val="24"/>
          <w:szCs w:val="28"/>
          <w:highlight w:val="none"/>
        </w:rPr>
      </w:pPr>
      <w:r>
        <w:rPr>
          <w:rFonts w:hint="eastAsia" w:ascii="Calibri" w:hAnsi="Calibri" w:eastAsia="宋体" w:cs="Times New Roman"/>
          <w:kern w:val="2"/>
          <w:sz w:val="24"/>
          <w:szCs w:val="28"/>
          <w:highlight w:val="none"/>
        </w:rPr>
        <w:t>如中标人被列入商业贿赂不良记录，则严格按照《国家卫生计生委关于建立医药购销领域商业贿赂不良记录的规定》（国卫法制发【2013】50号）相关规定处理。</w:t>
      </w:r>
    </w:p>
    <w:p>
      <w:pPr>
        <w:pStyle w:val="48"/>
        <w:numPr>
          <w:ilvl w:val="1"/>
          <w:numId w:val="4"/>
        </w:numPr>
        <w:tabs>
          <w:tab w:val="left" w:pos="425"/>
        </w:tabs>
        <w:spacing w:line="360" w:lineRule="auto"/>
        <w:ind w:left="-5" w:firstLineChars="0"/>
        <w:rPr>
          <w:rFonts w:hint="eastAsia" w:ascii="Calibri" w:hAnsi="Calibri" w:eastAsia="宋体" w:cs="Times New Roman"/>
          <w:kern w:val="2"/>
          <w:sz w:val="24"/>
          <w:szCs w:val="28"/>
          <w:highlight w:val="none"/>
          <w:lang w:eastAsia="zh-CN"/>
        </w:rPr>
      </w:pPr>
      <w:r>
        <w:rPr>
          <w:rFonts w:hint="eastAsia" w:ascii="Calibri" w:hAnsi="Calibri" w:eastAsia="宋体" w:cs="Times New Roman"/>
          <w:kern w:val="2"/>
          <w:sz w:val="24"/>
          <w:szCs w:val="28"/>
          <w:highlight w:val="none"/>
          <w:lang w:eastAsia="zh-CN"/>
        </w:rPr>
        <w:t>《廉洁告知书》</w:t>
      </w:r>
      <w:r>
        <w:rPr>
          <w:rFonts w:hint="eastAsia" w:ascii="Calibri" w:hAnsi="Calibri" w:eastAsia="宋体" w:cs="Times New Roman"/>
          <w:kern w:val="2"/>
          <w:sz w:val="24"/>
          <w:szCs w:val="28"/>
          <w:highlight w:val="none"/>
          <w:lang w:val="en-US" w:eastAsia="zh-CN"/>
        </w:rPr>
        <w:t>将</w:t>
      </w:r>
      <w:r>
        <w:rPr>
          <w:rFonts w:hint="eastAsia" w:ascii="Calibri" w:hAnsi="Calibri" w:eastAsia="宋体" w:cs="Times New Roman"/>
          <w:kern w:val="2"/>
          <w:sz w:val="24"/>
          <w:szCs w:val="28"/>
          <w:highlight w:val="none"/>
          <w:lang w:eastAsia="zh-CN"/>
        </w:rPr>
        <w:t>作为合同的组成部分。</w:t>
      </w:r>
    </w:p>
    <w:p>
      <w:pPr>
        <w:pStyle w:val="48"/>
        <w:numPr>
          <w:ilvl w:val="1"/>
          <w:numId w:val="4"/>
        </w:numPr>
        <w:tabs>
          <w:tab w:val="left" w:pos="425"/>
        </w:tabs>
        <w:spacing w:line="360" w:lineRule="auto"/>
        <w:ind w:left="-5"/>
        <w:rPr>
          <w:rFonts w:hint="eastAsia" w:ascii="Calibri" w:hAnsi="Calibri" w:eastAsia="宋体" w:cs="Times New Roman"/>
          <w:kern w:val="2"/>
          <w:sz w:val="24"/>
          <w:szCs w:val="28"/>
          <w:highlight w:val="none"/>
          <w:lang w:val="en-US" w:eastAsia="zh-CN"/>
        </w:rPr>
      </w:pPr>
      <w:r>
        <w:rPr>
          <w:rFonts w:hint="eastAsia" w:ascii="Calibri" w:hAnsi="Calibri" w:eastAsia="宋体" w:cs="Times New Roman"/>
          <w:kern w:val="2"/>
          <w:sz w:val="24"/>
          <w:szCs w:val="28"/>
          <w:highlight w:val="none"/>
          <w:lang w:val="en-US" w:eastAsia="zh-CN"/>
        </w:rPr>
        <w:t>后附附件《廉洁告知书》。</w:t>
      </w:r>
    </w:p>
    <w:p>
      <w:pPr>
        <w:spacing w:line="360" w:lineRule="auto"/>
        <w:jc w:val="both"/>
        <w:rPr>
          <w:rFonts w:hint="eastAsia" w:ascii="仿宋" w:hAnsi="仿宋" w:eastAsia="仿宋" w:cs="仿宋"/>
          <w:kern w:val="0"/>
          <w:sz w:val="24"/>
          <w:szCs w:val="24"/>
          <w:highlight w:val="none"/>
          <w:lang w:val="en-US" w:eastAsia="zh-CN"/>
        </w:rPr>
      </w:pPr>
    </w:p>
    <w:p>
      <w:pPr>
        <w:spacing w:line="360" w:lineRule="auto"/>
        <w:ind w:firstLine="0" w:firstLineChars="0"/>
        <w:jc w:val="both"/>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附件</w:t>
      </w:r>
      <w:r>
        <w:rPr>
          <w:rFonts w:hint="eastAsia" w:ascii="宋体" w:hAnsi="宋体" w:eastAsia="宋体" w:cs="宋体"/>
          <w:kern w:val="0"/>
          <w:sz w:val="24"/>
          <w:szCs w:val="24"/>
          <w:highlight w:val="none"/>
        </w:rPr>
        <w:t>《廉洁告知书》</w:t>
      </w:r>
    </w:p>
    <w:p>
      <w:pPr>
        <w:spacing w:line="360" w:lineRule="auto"/>
        <w:ind w:firstLine="480" w:firstLineChars="200"/>
        <w:jc w:val="left"/>
        <w:rPr>
          <w:rFonts w:hint="eastAsia" w:ascii="宋体" w:hAnsi="宋体" w:eastAsia="宋体" w:cs="宋体"/>
          <w:kern w:val="0"/>
          <w:sz w:val="24"/>
          <w:szCs w:val="24"/>
          <w:highlight w:val="none"/>
        </w:rPr>
      </w:pPr>
    </w:p>
    <w:p>
      <w:pPr>
        <w:spacing w:line="360" w:lineRule="auto"/>
        <w:ind w:firstLine="480" w:firstLineChars="20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廉洁告知书</w:t>
      </w:r>
    </w:p>
    <w:p>
      <w:p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_____________________</w:t>
      </w:r>
      <w:r>
        <w:rPr>
          <w:rFonts w:hint="eastAsia" w:ascii="宋体" w:hAnsi="宋体" w:eastAsia="宋体" w:cs="宋体"/>
          <w:kern w:val="0"/>
          <w:sz w:val="24"/>
          <w:szCs w:val="24"/>
          <w:highlight w:val="none"/>
        </w:rPr>
        <w:t>：</w:t>
      </w:r>
    </w:p>
    <w:p>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为进一步完善厦门市属公立医疗单位采购监督制约机制，防止发生医疗领域商业贿赂行为，贵司在医疗机构采购活动中要廉洁自律、诚实守信，遵守如下规定：</w:t>
      </w:r>
    </w:p>
    <w:p>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严格遵守国家有关工程建设、招标投标、物资采购、服务采购等相关法律法规、政策以及廉政建设规定。</w:t>
      </w:r>
    </w:p>
    <w:p>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坚持公平、公正、公开和诚实守信的原则，不得为获取不正当利益损害国家、集体、第三人和对方利益。</w:t>
      </w:r>
    </w:p>
    <w:p>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不得有商业贿赂行为，如赠予甲方人员现金、物品、有价证券，或以支付凭证、理财等方式变相支付本应由甲方人员承担的款项。 </w:t>
      </w:r>
    </w:p>
    <w:p>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不得以任何理由邀请甲方人员进入营业性娱乐场所或者参加影响业务工作公平公正开展的其他活动。</w:t>
      </w:r>
    </w:p>
    <w:p>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不得到甲方医疗场所、工作人员家中推销产品并提供任何好处费，不得采用不正当手段进行临床促销活动。</w:t>
      </w:r>
    </w:p>
    <w:p>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不得以回扣、宴请等方式影响甲方人员采购或使用医药产品的选择权，不得在学术活动中提供旅游、超标准支付食宿费用。</w:t>
      </w:r>
    </w:p>
    <w:p>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如违反上述规定，甲方有权选择立即中止、终止或解除与贵司正在进行的任何业务关系，贵司应承担甲方因此产生的经济损失、不良后果及相应的违约责任。</w:t>
      </w:r>
    </w:p>
    <w:p>
      <w:pPr>
        <w:spacing w:line="360" w:lineRule="auto"/>
        <w:ind w:firstLine="480" w:firstLineChars="200"/>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eastAsia="zh-CN"/>
        </w:rPr>
        <w:t>厦门市苏颂医院</w:t>
      </w:r>
    </w:p>
    <w:p>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rPr>
        <w:t xml:space="preserve">   年  月  日</w:t>
      </w:r>
    </w:p>
    <w:p>
      <w:pPr>
        <w:snapToGrid w:val="0"/>
        <w:spacing w:line="360" w:lineRule="auto"/>
        <w:rPr>
          <w:rFonts w:hint="eastAsia" w:ascii="宋体" w:hAnsi="宋体" w:eastAsia="宋体" w:cs="宋体"/>
          <w:sz w:val="24"/>
          <w:highlight w:val="none"/>
          <w:u w:val="dotDash"/>
        </w:rPr>
      </w:pPr>
      <w:r>
        <w:rPr>
          <w:rFonts w:hint="eastAsia" w:ascii="宋体" w:hAnsi="宋体" w:eastAsia="宋体" w:cs="宋体"/>
          <w:sz w:val="24"/>
          <w:highlight w:val="none"/>
          <w:u w:val="dotDash"/>
        </w:rPr>
        <w:t xml:space="preserve">                                                                                 </w:t>
      </w:r>
    </w:p>
    <w:p>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p>
    <w:p>
      <w:pPr>
        <w:spacing w:line="360" w:lineRule="auto"/>
        <w:ind w:firstLine="480" w:firstLineChars="200"/>
        <w:jc w:val="left"/>
        <w:rPr>
          <w:rFonts w:hint="eastAsia" w:ascii="宋体" w:hAnsi="宋体" w:eastAsia="宋体" w:cs="宋体"/>
          <w:kern w:val="0"/>
          <w:sz w:val="24"/>
          <w:szCs w:val="24"/>
          <w:highlight w:val="none"/>
        </w:rPr>
      </w:pPr>
    </w:p>
    <w:p>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eastAsia="zh-CN"/>
        </w:rPr>
        <w:t>厦门市苏颂医院</w:t>
      </w:r>
      <w:r>
        <w:rPr>
          <w:rFonts w:hint="eastAsia" w:ascii="宋体" w:hAnsi="宋体" w:eastAsia="宋体" w:cs="宋体"/>
          <w:kern w:val="0"/>
          <w:sz w:val="24"/>
          <w:szCs w:val="24"/>
          <w:highlight w:val="none"/>
        </w:rPr>
        <w:t>廉洁告知书我已收到，内容我已知悉并理解，我方承诺将严格按照《廉洁告知书》相关内容履行。</w:t>
      </w:r>
    </w:p>
    <w:p>
      <w:pPr>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签字：</w:t>
      </w:r>
    </w:p>
    <w:p>
      <w:pPr>
        <w:spacing w:line="360" w:lineRule="auto"/>
        <w:ind w:firstLine="5280" w:firstLineChars="2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单位盖章： </w:t>
      </w:r>
    </w:p>
    <w:p>
      <w:pPr>
        <w:ind w:firstLine="5280" w:firstLineChars="2200"/>
        <w:rPr>
          <w:rFonts w:hint="eastAsia" w:ascii="宋体" w:hAnsi="宋体" w:eastAsia="宋体" w:cs="宋体"/>
          <w:bCs/>
          <w:kern w:val="0"/>
          <w:sz w:val="24"/>
          <w:szCs w:val="24"/>
          <w:highlight w:val="none"/>
        </w:rPr>
      </w:pPr>
      <w:r>
        <w:rPr>
          <w:rFonts w:hint="eastAsia" w:ascii="宋体" w:hAnsi="宋体" w:eastAsia="宋体" w:cs="宋体"/>
          <w:kern w:val="0"/>
          <w:sz w:val="24"/>
          <w:szCs w:val="24"/>
          <w:highlight w:val="none"/>
        </w:rPr>
        <w:t>日期：</w:t>
      </w:r>
    </w:p>
    <w:p>
      <w:pPr>
        <w:spacing w:line="360" w:lineRule="auto"/>
        <w:ind w:firstLine="0" w:firstLineChars="0"/>
        <w:rPr>
          <w:rFonts w:ascii="宋体" w:hAnsi="宋体"/>
          <w:sz w:val="24"/>
          <w:szCs w:val="28"/>
        </w:rPr>
      </w:pPr>
    </w:p>
    <w:p>
      <w:pPr>
        <w:widowControl/>
        <w:spacing w:line="360" w:lineRule="auto"/>
        <w:jc w:val="left"/>
        <w:rPr>
          <w:rFonts w:ascii="黑体" w:hAnsi="黑体" w:eastAsia="黑体" w:cs="宋体"/>
          <w:b/>
          <w:kern w:val="0"/>
          <w:sz w:val="32"/>
          <w:szCs w:val="24"/>
        </w:rPr>
      </w:pPr>
      <w:r>
        <w:rPr>
          <w:rFonts w:hint="eastAsia" w:ascii="黑体" w:hAnsi="黑体" w:eastAsia="黑体" w:cs="宋体"/>
          <w:b/>
          <w:kern w:val="0"/>
          <w:sz w:val="32"/>
          <w:szCs w:val="24"/>
        </w:rPr>
        <w:t>补充条款：</w:t>
      </w:r>
    </w:p>
    <w:p>
      <w:pPr>
        <w:widowControl/>
        <w:spacing w:line="360" w:lineRule="auto"/>
        <w:jc w:val="left"/>
        <w:rPr>
          <w:rFonts w:ascii="楷体" w:hAnsi="楷体" w:eastAsia="楷体" w:cs="宋体"/>
          <w:b/>
          <w:kern w:val="0"/>
          <w:sz w:val="32"/>
          <w:szCs w:val="24"/>
        </w:rPr>
      </w:pPr>
      <w:r>
        <w:rPr>
          <w:rFonts w:hint="eastAsia" w:ascii="楷体" w:hAnsi="楷体" w:eastAsia="楷体" w:cs="宋体"/>
          <w:b/>
          <w:kern w:val="0"/>
          <w:sz w:val="32"/>
          <w:szCs w:val="24"/>
        </w:rPr>
        <w:t>说明：本补充条款为招标文件组成部分，补充条款内容与招标文件其他地方内容不一致的，以本补充条款内容为准。请投标人仔细阅读。</w:t>
      </w:r>
      <w:r>
        <w:rPr>
          <w:rFonts w:ascii="楷体" w:hAnsi="楷体" w:eastAsia="楷体" w:cs="宋体"/>
          <w:b/>
          <w:kern w:val="0"/>
          <w:sz w:val="32"/>
          <w:szCs w:val="24"/>
        </w:rPr>
        <w:t xml:space="preserve"> </w:t>
      </w:r>
    </w:p>
    <w:p>
      <w:pPr>
        <w:spacing w:line="360" w:lineRule="auto"/>
        <w:rPr>
          <w:rFonts w:ascii="黑体" w:hAnsi="黑体" w:eastAsia="黑体"/>
          <w:b/>
          <w:sz w:val="32"/>
          <w:szCs w:val="32"/>
        </w:rPr>
      </w:pPr>
      <w:bookmarkStart w:id="22" w:name="_Toc100307865"/>
      <w:r>
        <w:rPr>
          <w:rFonts w:hint="eastAsia" w:ascii="黑体" w:hAnsi="黑体" w:eastAsia="黑体"/>
          <w:b/>
          <w:sz w:val="32"/>
          <w:szCs w:val="32"/>
        </w:rPr>
        <w:t>一、对《第二章  投标人须知前附表》的内容补充如下：</w:t>
      </w:r>
      <w:bookmarkEnd w:id="22"/>
    </w:p>
    <w:p>
      <w:pPr>
        <w:widowControl/>
        <w:spacing w:line="360" w:lineRule="auto"/>
        <w:jc w:val="center"/>
        <w:rPr>
          <w:rFonts w:ascii="黑体" w:hAnsi="黑体" w:eastAsia="黑体" w:cs="宋体"/>
          <w:b/>
          <w:kern w:val="0"/>
          <w:sz w:val="28"/>
          <w:szCs w:val="24"/>
        </w:rPr>
      </w:pPr>
      <w:r>
        <w:rPr>
          <w:rFonts w:hint="eastAsia" w:ascii="黑体" w:hAnsi="黑体" w:eastAsia="黑体" w:cs="宋体"/>
          <w:b/>
          <w:kern w:val="0"/>
          <w:sz w:val="28"/>
          <w:szCs w:val="24"/>
        </w:rPr>
        <w:t>一、投标人须知前附表1</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401"/>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pPr>
              <w:widowControl/>
              <w:spacing w:line="360" w:lineRule="auto"/>
              <w:jc w:val="center"/>
              <w:rPr>
                <w:rFonts w:ascii="宋体" w:hAnsi="宋体" w:eastAsia="宋体" w:cs="宋体"/>
                <w:kern w:val="0"/>
                <w:sz w:val="24"/>
                <w:szCs w:val="20"/>
              </w:rPr>
            </w:pPr>
            <w:r>
              <w:rPr>
                <w:rFonts w:ascii="宋体" w:hAnsi="宋体" w:eastAsia="宋体" w:cs="宋体"/>
                <w:kern w:val="0"/>
                <w:sz w:val="24"/>
                <w:szCs w:val="20"/>
              </w:rPr>
              <w:t>项号</w:t>
            </w:r>
          </w:p>
        </w:tc>
        <w:tc>
          <w:tcPr>
            <w:tcW w:w="1401" w:type="dxa"/>
            <w:noWrap w:val="0"/>
            <w:vAlign w:val="center"/>
          </w:tcPr>
          <w:p>
            <w:pPr>
              <w:widowControl/>
              <w:spacing w:line="360" w:lineRule="auto"/>
              <w:jc w:val="center"/>
              <w:rPr>
                <w:rFonts w:ascii="宋体" w:hAnsi="宋体" w:eastAsia="宋体" w:cs="宋体"/>
                <w:kern w:val="0"/>
                <w:sz w:val="24"/>
                <w:szCs w:val="20"/>
              </w:rPr>
            </w:pPr>
            <w:r>
              <w:rPr>
                <w:rFonts w:ascii="宋体" w:hAnsi="宋体" w:eastAsia="宋体" w:cs="宋体"/>
                <w:kern w:val="0"/>
                <w:sz w:val="24"/>
                <w:szCs w:val="20"/>
              </w:rPr>
              <w:t>招标文件</w:t>
            </w:r>
          </w:p>
          <w:p>
            <w:pPr>
              <w:widowControl/>
              <w:spacing w:line="360" w:lineRule="auto"/>
              <w:jc w:val="center"/>
              <w:rPr>
                <w:rFonts w:ascii="宋体" w:hAnsi="宋体" w:eastAsia="宋体" w:cs="宋体"/>
                <w:kern w:val="0"/>
                <w:sz w:val="24"/>
                <w:szCs w:val="20"/>
              </w:rPr>
            </w:pPr>
            <w:r>
              <w:rPr>
                <w:rFonts w:ascii="宋体" w:hAnsi="宋体" w:eastAsia="宋体" w:cs="宋体"/>
                <w:kern w:val="0"/>
                <w:sz w:val="24"/>
                <w:szCs w:val="20"/>
              </w:rPr>
              <w:t>（第三章）</w:t>
            </w:r>
          </w:p>
        </w:tc>
        <w:tc>
          <w:tcPr>
            <w:tcW w:w="6999" w:type="dxa"/>
            <w:noWrap w:val="0"/>
            <w:vAlign w:val="center"/>
          </w:tcPr>
          <w:p>
            <w:pPr>
              <w:widowControl/>
              <w:spacing w:line="360" w:lineRule="auto"/>
              <w:jc w:val="center"/>
              <w:rPr>
                <w:rFonts w:ascii="宋体" w:hAnsi="宋体" w:eastAsia="宋体" w:cs="宋体"/>
                <w:kern w:val="0"/>
                <w:sz w:val="24"/>
                <w:szCs w:val="20"/>
              </w:rPr>
            </w:pPr>
            <w:r>
              <w:rPr>
                <w:rFonts w:ascii="宋体" w:hAnsi="宋体" w:eastAsia="宋体" w:cs="宋体"/>
                <w:kern w:val="0"/>
                <w:sz w:val="24"/>
                <w:szCs w:val="2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pPr>
              <w:widowControl/>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8</w:t>
            </w:r>
          </w:p>
        </w:tc>
        <w:tc>
          <w:tcPr>
            <w:tcW w:w="1401" w:type="dxa"/>
            <w:noWrap w:val="0"/>
            <w:vAlign w:val="center"/>
          </w:tcPr>
          <w:p>
            <w:pPr>
              <w:widowControl/>
              <w:spacing w:line="360" w:lineRule="auto"/>
              <w:jc w:val="center"/>
              <w:rPr>
                <w:rFonts w:ascii="宋体" w:hAnsi="宋体" w:eastAsia="宋体" w:cs="宋体"/>
                <w:kern w:val="0"/>
                <w:sz w:val="24"/>
                <w:szCs w:val="20"/>
              </w:rPr>
            </w:pPr>
            <w:r>
              <w:rPr>
                <w:rFonts w:ascii="宋体" w:hAnsi="宋体" w:eastAsia="宋体" w:cs="宋体"/>
                <w:kern w:val="0"/>
                <w:sz w:val="24"/>
                <w:szCs w:val="20"/>
              </w:rPr>
              <w:t>15.1-（2）</w:t>
            </w:r>
          </w:p>
        </w:tc>
        <w:tc>
          <w:tcPr>
            <w:tcW w:w="6999" w:type="dxa"/>
            <w:noWrap w:val="0"/>
            <w:vAlign w:val="top"/>
          </w:tcPr>
          <w:p>
            <w:pPr>
              <w:widowControl/>
              <w:spacing w:line="360" w:lineRule="auto"/>
              <w:jc w:val="left"/>
              <w:rPr>
                <w:rFonts w:ascii="宋体" w:hAnsi="宋体" w:eastAsia="宋体" w:cs="宋体"/>
                <w:b/>
                <w:bCs/>
                <w:kern w:val="0"/>
                <w:sz w:val="24"/>
                <w:szCs w:val="20"/>
              </w:rPr>
            </w:pPr>
            <w:r>
              <w:rPr>
                <w:rFonts w:ascii="宋体" w:hAnsi="宋体" w:eastAsia="宋体" w:cs="宋体"/>
                <w:b/>
                <w:bCs/>
                <w:kern w:val="0"/>
                <w:sz w:val="24"/>
                <w:szCs w:val="20"/>
              </w:rPr>
              <w:t>质疑函应采用下列方式之一提交：</w:t>
            </w:r>
          </w:p>
          <w:p>
            <w:pPr>
              <w:widowControl/>
              <w:spacing w:line="360" w:lineRule="auto"/>
              <w:jc w:val="left"/>
              <w:rPr>
                <w:rFonts w:ascii="宋体" w:hAnsi="宋体" w:eastAsia="宋体" w:cs="宋体"/>
                <w:bCs/>
                <w:kern w:val="0"/>
                <w:sz w:val="24"/>
                <w:szCs w:val="20"/>
              </w:rPr>
            </w:pPr>
            <w:r>
              <w:rPr>
                <w:rFonts w:hint="eastAsia" w:ascii="宋体" w:hAnsi="宋体" w:eastAsia="宋体" w:cs="宋体"/>
                <w:bCs/>
                <w:kern w:val="0"/>
                <w:sz w:val="24"/>
                <w:szCs w:val="20"/>
              </w:rPr>
              <w:t>（1）邮件形式：将质疑函原件扫描发送至邮箱：</w:t>
            </w:r>
            <w:r>
              <w:rPr>
                <w:rFonts w:hint="eastAsia" w:ascii="宋体" w:hAnsi="宋体" w:eastAsia="宋体" w:cs="Times New Roman"/>
                <w:kern w:val="0"/>
                <w:sz w:val="24"/>
                <w:szCs w:val="20"/>
              </w:rPr>
              <w:t>xmgw</w:t>
            </w:r>
            <w:r>
              <w:rPr>
                <w:rFonts w:hint="eastAsia" w:ascii="宋体" w:hAnsi="宋体" w:eastAsia="宋体" w:cs="Times New Roman"/>
                <w:kern w:val="0"/>
                <w:sz w:val="24"/>
                <w:szCs w:val="20"/>
                <w:lang w:val="en-US" w:eastAsia="zh-CN"/>
              </w:rPr>
              <w:t>tz</w:t>
            </w:r>
            <w:r>
              <w:rPr>
                <w:rFonts w:hint="eastAsia" w:ascii="宋体" w:hAnsi="宋体" w:eastAsia="宋体" w:cs="Times New Roman"/>
                <w:kern w:val="0"/>
                <w:sz w:val="24"/>
                <w:szCs w:val="20"/>
              </w:rPr>
              <w:t>zy@163.com。收到质疑函的时间以邮箱显示的收到时间为准。质疑答复过程中需要核对原件的，质疑人应提供原件核查，否则相关资料可能不被认可。</w:t>
            </w:r>
          </w:p>
          <w:p>
            <w:pPr>
              <w:widowControl/>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（2）快递形式：</w:t>
            </w:r>
            <w:r>
              <w:rPr>
                <w:rFonts w:hint="eastAsia" w:ascii="宋体" w:hAnsi="宋体" w:eastAsia="宋体" w:cs="宋体"/>
                <w:bCs/>
                <w:kern w:val="0"/>
                <w:sz w:val="24"/>
                <w:szCs w:val="20"/>
              </w:rPr>
              <w:t>将质疑函原件快递至厦门市湖滨南路81号光大银行大厦</w:t>
            </w:r>
            <w:r>
              <w:rPr>
                <w:rFonts w:hint="eastAsia" w:ascii="宋体" w:hAnsi="宋体" w:eastAsia="宋体" w:cs="宋体"/>
                <w:bCs/>
                <w:kern w:val="0"/>
                <w:sz w:val="24"/>
                <w:szCs w:val="20"/>
                <w:lang w:val="en-US" w:eastAsia="zh-CN"/>
              </w:rPr>
              <w:t>18</w:t>
            </w:r>
            <w:r>
              <w:rPr>
                <w:rFonts w:hint="eastAsia" w:ascii="宋体" w:hAnsi="宋体" w:eastAsia="宋体" w:cs="宋体"/>
                <w:bCs/>
                <w:kern w:val="0"/>
                <w:sz w:val="24"/>
                <w:szCs w:val="20"/>
              </w:rPr>
              <w:t>楼前台，收件人：</w:t>
            </w:r>
            <w:r>
              <w:rPr>
                <w:rFonts w:hint="eastAsia" w:ascii="宋体" w:hAnsi="宋体" w:eastAsia="宋体" w:cs="宋体"/>
                <w:bCs/>
                <w:kern w:val="0"/>
                <w:sz w:val="24"/>
                <w:szCs w:val="20"/>
                <w:lang w:val="en-US" w:eastAsia="zh-CN"/>
              </w:rPr>
              <w:t>吴</w:t>
            </w:r>
            <w:r>
              <w:rPr>
                <w:rFonts w:hint="eastAsia" w:ascii="宋体" w:hAnsi="宋体" w:eastAsia="宋体" w:cs="宋体"/>
                <w:bCs/>
                <w:kern w:val="0"/>
                <w:sz w:val="24"/>
                <w:szCs w:val="20"/>
              </w:rPr>
              <w:t>小姐，电话：0592-22</w:t>
            </w:r>
            <w:r>
              <w:rPr>
                <w:rFonts w:hint="eastAsia" w:ascii="宋体" w:hAnsi="宋体" w:eastAsia="宋体" w:cs="宋体"/>
                <w:bCs/>
                <w:kern w:val="0"/>
                <w:sz w:val="24"/>
                <w:szCs w:val="20"/>
                <w:lang w:val="en-US" w:eastAsia="zh-CN"/>
              </w:rPr>
              <w:t>79850</w:t>
            </w:r>
            <w:r>
              <w:rPr>
                <w:rFonts w:hint="eastAsia" w:ascii="宋体" w:hAnsi="宋体" w:eastAsia="宋体" w:cs="宋体"/>
                <w:bCs/>
                <w:kern w:val="0"/>
                <w:sz w:val="24"/>
                <w:szCs w:val="20"/>
              </w:rPr>
              <w:t>。</w:t>
            </w:r>
            <w:r>
              <w:rPr>
                <w:rFonts w:hint="eastAsia" w:ascii="宋体" w:hAnsi="宋体" w:eastAsia="宋体" w:cs="Times New Roman"/>
                <w:kern w:val="0"/>
                <w:sz w:val="24"/>
                <w:szCs w:val="20"/>
              </w:rPr>
              <w:t>收到质疑函的时间以快递签收时间为准。</w:t>
            </w:r>
          </w:p>
          <w:p>
            <w:pPr>
              <w:widowControl/>
              <w:spacing w:line="360" w:lineRule="auto"/>
              <w:jc w:val="left"/>
              <w:rPr>
                <w:rFonts w:ascii="宋体" w:hAnsi="宋体" w:eastAsia="宋体" w:cs="Times New Roman"/>
                <w:kern w:val="0"/>
                <w:sz w:val="24"/>
                <w:szCs w:val="20"/>
              </w:rPr>
            </w:pPr>
            <w:r>
              <w:rPr>
                <w:rFonts w:hint="eastAsia" w:ascii="宋体" w:hAnsi="宋体" w:eastAsia="宋体" w:cs="宋体"/>
                <w:kern w:val="0"/>
                <w:sz w:val="24"/>
                <w:szCs w:val="20"/>
              </w:rPr>
              <w:t>（3）现场送达：</w:t>
            </w:r>
            <w:r>
              <w:rPr>
                <w:rFonts w:hint="eastAsia" w:ascii="宋体" w:hAnsi="宋体" w:eastAsia="宋体" w:cs="宋体"/>
                <w:bCs/>
                <w:kern w:val="0"/>
                <w:sz w:val="24"/>
                <w:szCs w:val="20"/>
              </w:rPr>
              <w:t>将质疑函原件现场送至厦门市湖滨南路81号光大银行大厦</w:t>
            </w:r>
            <w:r>
              <w:rPr>
                <w:rFonts w:hint="eastAsia" w:ascii="宋体" w:hAnsi="宋体" w:eastAsia="宋体" w:cs="宋体"/>
                <w:bCs/>
                <w:kern w:val="0"/>
                <w:sz w:val="24"/>
                <w:szCs w:val="20"/>
                <w:lang w:val="en-US" w:eastAsia="zh-CN"/>
              </w:rPr>
              <w:t>18</w:t>
            </w:r>
            <w:r>
              <w:rPr>
                <w:rFonts w:hint="eastAsia" w:ascii="宋体" w:hAnsi="宋体" w:eastAsia="宋体" w:cs="宋体"/>
                <w:bCs/>
                <w:kern w:val="0"/>
                <w:sz w:val="24"/>
                <w:szCs w:val="20"/>
              </w:rPr>
              <w:t>楼前台。</w:t>
            </w:r>
            <w:r>
              <w:rPr>
                <w:rFonts w:hint="eastAsia" w:ascii="宋体" w:hAnsi="宋体" w:eastAsia="宋体" w:cs="Times New Roman"/>
                <w:kern w:val="0"/>
                <w:sz w:val="24"/>
                <w:szCs w:val="20"/>
              </w:rPr>
              <w:t>收到质疑函的时间以前台签收时间为准。</w:t>
            </w:r>
          </w:p>
          <w:p>
            <w:pPr>
              <w:widowControl/>
              <w:spacing w:line="360" w:lineRule="auto"/>
              <w:jc w:val="left"/>
              <w:rPr>
                <w:rFonts w:ascii="宋体" w:hAnsi="宋体" w:eastAsia="宋体" w:cs="宋体"/>
                <w:kern w:val="0"/>
                <w:sz w:val="24"/>
                <w:szCs w:val="20"/>
              </w:rPr>
            </w:pPr>
            <w:r>
              <w:rPr>
                <w:rFonts w:hint="eastAsia" w:ascii="宋体" w:hAnsi="宋体" w:eastAsia="宋体" w:cs="宋体"/>
                <w:kern w:val="0"/>
                <w:sz w:val="24"/>
                <w:szCs w:val="20"/>
              </w:rPr>
              <w:t>注：提交质疑函须附上系统报名截图，质疑函须符合第三章第15条质疑的要求。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pPr>
              <w:widowControl/>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12</w:t>
            </w:r>
          </w:p>
        </w:tc>
        <w:tc>
          <w:tcPr>
            <w:tcW w:w="1401" w:type="dxa"/>
            <w:noWrap w:val="0"/>
            <w:vAlign w:val="center"/>
          </w:tcPr>
          <w:p>
            <w:pPr>
              <w:widowControl/>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17.2</w:t>
            </w:r>
          </w:p>
        </w:tc>
        <w:tc>
          <w:tcPr>
            <w:tcW w:w="6999" w:type="dxa"/>
            <w:noWrap w:val="0"/>
            <w:vAlign w:val="top"/>
          </w:tcPr>
          <w:p>
            <w:pPr>
              <w:widowControl/>
              <w:spacing w:line="360" w:lineRule="auto"/>
              <w:jc w:val="left"/>
              <w:rPr>
                <w:rFonts w:ascii="宋体" w:hAnsi="宋体" w:eastAsia="宋体" w:cs="宋体"/>
                <w:bCs/>
                <w:kern w:val="0"/>
                <w:sz w:val="24"/>
                <w:szCs w:val="20"/>
                <w:highlight w:val="none"/>
              </w:rPr>
            </w:pPr>
            <w:r>
              <w:rPr>
                <w:rFonts w:hint="eastAsia" w:ascii="宋体" w:hAnsi="宋体" w:eastAsia="宋体" w:cs="宋体"/>
                <w:bCs/>
                <w:kern w:val="0"/>
                <w:sz w:val="24"/>
                <w:szCs w:val="20"/>
                <w:highlight w:val="none"/>
              </w:rPr>
              <w:t>本项目中强制采购节能产品的货物名称：</w:t>
            </w:r>
          </w:p>
          <w:p>
            <w:pPr>
              <w:widowControl/>
              <w:spacing w:line="360" w:lineRule="auto"/>
              <w:jc w:val="left"/>
              <w:rPr>
                <w:rFonts w:ascii="宋体" w:hAnsi="宋体" w:eastAsia="宋体" w:cs="宋体"/>
                <w:bCs/>
                <w:kern w:val="0"/>
                <w:sz w:val="24"/>
                <w:szCs w:val="20"/>
                <w:highlight w:val="none"/>
              </w:rPr>
            </w:pPr>
            <w:r>
              <w:rPr>
                <w:rFonts w:hint="eastAsia" w:ascii="宋体" w:hAnsi="宋体" w:eastAsia="宋体" w:cs="宋体"/>
                <w:bCs/>
                <w:kern w:val="0"/>
                <w:sz w:val="24"/>
                <w:szCs w:val="20"/>
                <w:highlight w:val="none"/>
              </w:rPr>
              <w:t>采购包1：无。</w:t>
            </w:r>
          </w:p>
          <w:p>
            <w:pPr>
              <w:widowControl/>
              <w:spacing w:line="360" w:lineRule="auto"/>
              <w:jc w:val="left"/>
              <w:rPr>
                <w:rFonts w:ascii="宋体" w:hAnsi="宋体" w:eastAsia="宋体" w:cs="宋体"/>
                <w:bCs/>
                <w:kern w:val="0"/>
                <w:sz w:val="24"/>
                <w:szCs w:val="20"/>
                <w:highlight w:val="none"/>
              </w:rPr>
            </w:pPr>
            <w:r>
              <w:rPr>
                <w:rFonts w:hint="eastAsia" w:ascii="宋体" w:hAnsi="宋体" w:eastAsia="宋体" w:cs="宋体"/>
                <w:bCs/>
                <w:kern w:val="0"/>
                <w:sz w:val="24"/>
                <w:szCs w:val="20"/>
                <w:highlight w:val="none"/>
              </w:rPr>
              <w:t>注：投标人所投上述产品必须具有节能产品认证证书，并提供依据国家确定的认证机构出具的、处于有效期之内的节能产品认证证书复印件，否则投标无效。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noWrap w:val="0"/>
            <w:vAlign w:val="center"/>
          </w:tcPr>
          <w:p>
            <w:pPr>
              <w:widowControl/>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12</w:t>
            </w:r>
          </w:p>
        </w:tc>
        <w:tc>
          <w:tcPr>
            <w:tcW w:w="1401" w:type="dxa"/>
            <w:noWrap w:val="0"/>
            <w:vAlign w:val="center"/>
          </w:tcPr>
          <w:p>
            <w:pPr>
              <w:widowControl/>
              <w:spacing w:line="360" w:lineRule="auto"/>
              <w:jc w:val="center"/>
              <w:rPr>
                <w:rFonts w:ascii="宋体" w:hAnsi="宋体" w:eastAsia="宋体" w:cs="宋体"/>
                <w:kern w:val="0"/>
                <w:sz w:val="24"/>
                <w:szCs w:val="20"/>
              </w:rPr>
            </w:pPr>
            <w:r>
              <w:rPr>
                <w:rFonts w:hint="eastAsia" w:ascii="宋体" w:hAnsi="宋体" w:eastAsia="宋体" w:cs="宋体"/>
                <w:kern w:val="0"/>
                <w:sz w:val="24"/>
                <w:szCs w:val="20"/>
              </w:rPr>
              <w:t>19</w:t>
            </w:r>
          </w:p>
        </w:tc>
        <w:tc>
          <w:tcPr>
            <w:tcW w:w="6999" w:type="dxa"/>
            <w:noWrap w:val="0"/>
            <w:vAlign w:val="top"/>
          </w:tcPr>
          <w:p>
            <w:pPr>
              <w:spacing w:line="360" w:lineRule="auto"/>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本项目的核心产品为：</w:t>
            </w:r>
          </w:p>
          <w:p>
            <w:pPr>
              <w:spacing w:line="360" w:lineRule="auto"/>
              <w:rPr>
                <w:rFonts w:hint="default" w:ascii="宋体" w:hAnsi="宋体" w:eastAsia="宋体" w:cs="Times New Roman"/>
                <w:kern w:val="0"/>
                <w:sz w:val="24"/>
                <w:szCs w:val="20"/>
                <w:highlight w:val="none"/>
                <w:lang w:val="en-US" w:eastAsia="zh-CN"/>
              </w:rPr>
            </w:pPr>
            <w:r>
              <w:rPr>
                <w:rFonts w:hint="eastAsia" w:ascii="宋体" w:hAnsi="宋体" w:eastAsia="宋体" w:cs="Times New Roman"/>
                <w:kern w:val="0"/>
                <w:sz w:val="24"/>
                <w:szCs w:val="20"/>
                <w:highlight w:val="none"/>
              </w:rPr>
              <w:t>采购包1：</w:t>
            </w:r>
            <w:r>
              <w:rPr>
                <w:rFonts w:hint="eastAsia" w:ascii="宋体" w:hAnsi="宋体" w:eastAsia="宋体" w:cs="Times New Roman"/>
                <w:kern w:val="0"/>
                <w:sz w:val="24"/>
                <w:szCs w:val="20"/>
                <w:highlight w:val="none"/>
                <w:lang w:val="en-US" w:eastAsia="zh-CN"/>
              </w:rPr>
              <w:t>彩色多普勒超声诊断仪</w:t>
            </w:r>
          </w:p>
          <w:p>
            <w:pPr>
              <w:spacing w:line="360" w:lineRule="auto"/>
              <w:rPr>
                <w:rFonts w:ascii="宋体" w:hAnsi="宋体" w:eastAsia="宋体" w:cs="Times New Roman"/>
                <w:kern w:val="0"/>
                <w:sz w:val="24"/>
                <w:szCs w:val="20"/>
                <w:highlight w:val="none"/>
              </w:rPr>
            </w:pPr>
            <w:r>
              <w:rPr>
                <w:rFonts w:hint="eastAsia" w:ascii="宋体" w:hAnsi="宋体" w:eastAsia="宋体" w:cs="Times New Roman"/>
                <w:kern w:val="0"/>
                <w:sz w:val="24"/>
                <w:szCs w:val="20"/>
                <w:highlight w:val="none"/>
              </w:rPr>
              <w:t>注：多家投标人提供的核心产品中有任意一个对应产品品牌相同的，按照第四章第6.4条第（2）款第①、②规定处理。</w:t>
            </w:r>
          </w:p>
        </w:tc>
      </w:tr>
    </w:tbl>
    <w:p>
      <w:pPr>
        <w:widowControl/>
        <w:spacing w:line="360" w:lineRule="auto"/>
        <w:jc w:val="left"/>
        <w:rPr>
          <w:rFonts w:ascii="宋体" w:hAnsi="宋体" w:eastAsia="宋体" w:cs="宋体"/>
          <w:kern w:val="0"/>
          <w:sz w:val="18"/>
          <w:szCs w:val="18"/>
        </w:rPr>
      </w:pPr>
    </w:p>
    <w:p>
      <w:pPr>
        <w:spacing w:line="360" w:lineRule="auto"/>
        <w:rPr>
          <w:rFonts w:ascii="黑体" w:hAnsi="黑体" w:eastAsia="黑体"/>
          <w:b/>
          <w:sz w:val="32"/>
          <w:szCs w:val="32"/>
        </w:rPr>
      </w:pPr>
      <w:bookmarkStart w:id="23" w:name="_Toc100307866"/>
      <w:r>
        <w:rPr>
          <w:rFonts w:hint="eastAsia" w:ascii="黑体" w:hAnsi="黑体" w:eastAsia="黑体"/>
          <w:b/>
          <w:sz w:val="32"/>
          <w:szCs w:val="32"/>
        </w:rPr>
        <w:t>二、对《第三章  投标人须知》的内容补充如下：</w:t>
      </w:r>
      <w:bookmarkEnd w:id="23"/>
    </w:p>
    <w:p>
      <w:pPr>
        <w:spacing w:line="360" w:lineRule="auto"/>
        <w:rPr>
          <w:rFonts w:ascii="黑体" w:hAnsi="黑体" w:eastAsia="黑体"/>
          <w:b/>
          <w:sz w:val="32"/>
          <w:szCs w:val="32"/>
        </w:rPr>
      </w:pPr>
      <w:bookmarkStart w:id="24" w:name="_Toc100307867"/>
      <w:r>
        <w:rPr>
          <w:rFonts w:hint="eastAsia" w:ascii="黑体" w:hAnsi="黑体" w:eastAsia="黑体"/>
          <w:b/>
          <w:sz w:val="32"/>
          <w:szCs w:val="32"/>
        </w:rPr>
        <w:t>（一）《八、政府采购政策》内容补充如下：</w:t>
      </w:r>
      <w:bookmarkEnd w:id="24"/>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非专门面向中小企业采购项目优惠办法</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center"/>
          </w:tcPr>
          <w:p>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享受优惠政策</w:t>
            </w:r>
          </w:p>
          <w:p>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的条件</w:t>
            </w:r>
          </w:p>
        </w:tc>
        <w:tc>
          <w:tcPr>
            <w:tcW w:w="7193" w:type="dxa"/>
            <w:noWrap w:val="0"/>
            <w:vAlign w:val="center"/>
          </w:tcPr>
          <w:p>
            <w:pPr>
              <w:spacing w:line="360" w:lineRule="auto"/>
              <w:rPr>
                <w:rFonts w:ascii="宋体" w:hAnsi="宋体" w:eastAsia="宋体" w:cs="Times New Roman"/>
                <w:sz w:val="24"/>
                <w:szCs w:val="28"/>
              </w:rPr>
            </w:pPr>
            <w:r>
              <w:rPr>
                <w:rFonts w:hint="eastAsia" w:ascii="宋体" w:hAnsi="宋体" w:eastAsia="宋体" w:cs="Times New Roman"/>
                <w:sz w:val="24"/>
                <w:szCs w:val="28"/>
              </w:rPr>
              <w:t>1、货物由小微企业制造，即主要货物（配件、辅材除外）全部由小微企业生产且使用该小微企业商号或者注册商标。若制造企业与大企业的负责人为同一人，或者与大企业存在直接控股、管理关系的，不享受优惠政策。</w:t>
            </w:r>
          </w:p>
          <w:p>
            <w:pPr>
              <w:spacing w:line="360" w:lineRule="auto"/>
              <w:rPr>
                <w:rFonts w:ascii="宋体" w:hAnsi="宋体" w:eastAsia="宋体" w:cs="Times New Roman"/>
                <w:sz w:val="24"/>
                <w:szCs w:val="28"/>
              </w:rPr>
            </w:pPr>
            <w:r>
              <w:rPr>
                <w:rFonts w:hint="eastAsia" w:ascii="宋体" w:hAnsi="宋体" w:eastAsia="宋体" w:cs="Times New Roman"/>
                <w:sz w:val="24"/>
                <w:szCs w:val="28"/>
              </w:rPr>
              <w:t>2、供应商提供的货物既有小微企业制造货物，也有中型、大型企业制造货物的，不享受优惠政策。</w:t>
            </w:r>
          </w:p>
          <w:p>
            <w:pPr>
              <w:spacing w:line="360" w:lineRule="auto"/>
              <w:rPr>
                <w:rFonts w:ascii="宋体" w:hAnsi="宋体" w:eastAsia="宋体" w:cs="Times New Roman"/>
                <w:sz w:val="24"/>
                <w:szCs w:val="28"/>
              </w:rPr>
            </w:pPr>
            <w:r>
              <w:rPr>
                <w:rFonts w:hint="eastAsia" w:ascii="宋体" w:hAnsi="宋体" w:eastAsia="宋体" w:cs="Times New Roman"/>
                <w:sz w:val="24"/>
                <w:szCs w:val="28"/>
              </w:rPr>
              <w:t>3、监狱企业视同小型、微型企业，若货物制造企业为监狱企业的，提供由省级以上监狱管理局、戒毒管理局（含新疆生产建设兵团）出具的属于监狱企业的证明文件。</w:t>
            </w:r>
          </w:p>
          <w:p>
            <w:pPr>
              <w:spacing w:line="360" w:lineRule="auto"/>
              <w:rPr>
                <w:rFonts w:ascii="宋体" w:hAnsi="宋体" w:eastAsia="宋体" w:cs="Times New Roman"/>
                <w:sz w:val="24"/>
                <w:szCs w:val="28"/>
              </w:rPr>
            </w:pPr>
            <w:r>
              <w:rPr>
                <w:rFonts w:hint="eastAsia" w:ascii="宋体" w:hAnsi="宋体" w:eastAsia="宋体" w:cs="Times New Roman"/>
                <w:sz w:val="24"/>
                <w:szCs w:val="28"/>
              </w:rPr>
              <w:t>4、残疾人福利性单位视同小型、微型企业，若货物制造企业为残疾人福利性单位的</w:t>
            </w:r>
            <w:r>
              <w:rPr>
                <w:rFonts w:ascii="宋体" w:hAnsi="宋体" w:eastAsia="宋体" w:cs="Times New Roman"/>
                <w:sz w:val="24"/>
                <w:szCs w:val="28"/>
              </w:rPr>
              <w:t>（不包括使用非残疾人福利性单位注册商标的货物）</w:t>
            </w:r>
            <w:r>
              <w:rPr>
                <w:rFonts w:hint="eastAsia" w:ascii="宋体" w:hAnsi="宋体" w:eastAsia="宋体" w:cs="Times New Roman"/>
                <w:sz w:val="24"/>
                <w:szCs w:val="28"/>
              </w:rPr>
              <w:t>，提供《残疾人福利性单位声明函》。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center"/>
          </w:tcPr>
          <w:p>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享受优惠政策</w:t>
            </w:r>
          </w:p>
          <w:p>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需提供的材料</w:t>
            </w:r>
          </w:p>
        </w:tc>
        <w:tc>
          <w:tcPr>
            <w:tcW w:w="7193" w:type="dxa"/>
            <w:noWrap w:val="0"/>
            <w:vAlign w:val="center"/>
          </w:tcPr>
          <w:p>
            <w:pPr>
              <w:spacing w:line="360" w:lineRule="auto"/>
              <w:rPr>
                <w:rFonts w:ascii="宋体" w:hAnsi="宋体" w:eastAsia="宋体" w:cs="Times New Roman"/>
                <w:sz w:val="24"/>
                <w:szCs w:val="28"/>
              </w:rPr>
            </w:pPr>
            <w:r>
              <w:rPr>
                <w:rFonts w:hint="eastAsia" w:ascii="宋体" w:hAnsi="宋体" w:eastAsia="宋体" w:cs="Times New Roman"/>
                <w:sz w:val="24"/>
                <w:szCs w:val="28"/>
              </w:rPr>
              <w:t>投标文件中需提供《中小企业声明函》。若制造企业为监狱企业、残疾人福利性单位的，可不填写《中小企业声明函》，按上述要求提供相应材料即可。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center"/>
          </w:tcPr>
          <w:p>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优惠办法</w:t>
            </w:r>
          </w:p>
        </w:tc>
        <w:tc>
          <w:tcPr>
            <w:tcW w:w="7193" w:type="dxa"/>
            <w:noWrap w:val="0"/>
            <w:vAlign w:val="center"/>
          </w:tcPr>
          <w:p>
            <w:pPr>
              <w:spacing w:line="360" w:lineRule="auto"/>
              <w:rPr>
                <w:rFonts w:ascii="宋体" w:hAnsi="宋体" w:eastAsia="宋体" w:cs="Times New Roman"/>
                <w:sz w:val="24"/>
                <w:szCs w:val="28"/>
              </w:rPr>
            </w:pPr>
            <w:r>
              <w:rPr>
                <w:rFonts w:hint="eastAsia" w:ascii="宋体" w:hAnsi="宋体" w:eastAsia="宋体" w:cs="Times New Roman"/>
                <w:sz w:val="24"/>
                <w:szCs w:val="28"/>
              </w:rPr>
              <w:t>对小型、微型企业的报价给予15%的扣除，用扣除后的价格参加评审。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noWrap w:val="0"/>
            <w:vAlign w:val="center"/>
          </w:tcPr>
          <w:p>
            <w:pPr>
              <w:spacing w:line="360" w:lineRule="auto"/>
              <w:jc w:val="center"/>
              <w:rPr>
                <w:rFonts w:ascii="宋体" w:hAnsi="宋体" w:eastAsia="宋体" w:cs="Times New Roman"/>
                <w:sz w:val="24"/>
                <w:szCs w:val="28"/>
              </w:rPr>
            </w:pPr>
            <w:r>
              <w:rPr>
                <w:rFonts w:hint="eastAsia" w:ascii="宋体" w:hAnsi="宋体" w:eastAsia="宋体" w:cs="Times New Roman"/>
                <w:sz w:val="24"/>
                <w:szCs w:val="28"/>
              </w:rPr>
              <w:t>注意事项</w:t>
            </w:r>
          </w:p>
        </w:tc>
        <w:tc>
          <w:tcPr>
            <w:tcW w:w="7193" w:type="dxa"/>
            <w:noWrap w:val="0"/>
            <w:vAlign w:val="center"/>
          </w:tcPr>
          <w:p>
            <w:pPr>
              <w:spacing w:line="360" w:lineRule="auto"/>
              <w:rPr>
                <w:rFonts w:ascii="宋体" w:hAnsi="宋体" w:eastAsia="宋体" w:cs="Times New Roman"/>
                <w:sz w:val="24"/>
                <w:szCs w:val="28"/>
              </w:rPr>
            </w:pPr>
            <w:r>
              <w:rPr>
                <w:rFonts w:hint="eastAsia" w:ascii="宋体" w:hAnsi="宋体" w:eastAsia="宋体" w:cs="Times New Roman"/>
                <w:sz w:val="24"/>
                <w:szCs w:val="28"/>
              </w:rPr>
              <w:t>1、请投标人根据《关于印发中小企业划型标准规定的通知》（工信部联企业〔2011〕300号）规定的标准对企业规模进行认定。</w:t>
            </w:r>
          </w:p>
          <w:p>
            <w:pPr>
              <w:spacing w:line="360" w:lineRule="auto"/>
              <w:rPr>
                <w:rFonts w:ascii="宋体" w:hAnsi="宋体" w:eastAsia="宋体" w:cs="Times New Roman"/>
                <w:sz w:val="24"/>
                <w:szCs w:val="28"/>
              </w:rPr>
            </w:pPr>
            <w:r>
              <w:rPr>
                <w:rFonts w:hint="eastAsia" w:ascii="宋体" w:hAnsi="宋体" w:eastAsia="宋体" w:cs="Times New Roman"/>
                <w:sz w:val="24"/>
                <w:szCs w:val="28"/>
              </w:rPr>
              <w:t>2、投标人应当对其出具的《中小企业声明函》真实性负责，投标人出具的《中小企业声明函》内容不实的，属于提供虚假材料谋取中标。在实际操作中，投标人希望获得政策支持的，应从制造商处获得充分、准确的信息。对相关制造商信息了解不充分，或者不能确定相关信息真实、准确的，不建议出具《中小企业声明函》。</w:t>
            </w:r>
          </w:p>
          <w:p>
            <w:pPr>
              <w:spacing w:line="360" w:lineRule="auto"/>
              <w:rPr>
                <w:rFonts w:ascii="宋体" w:hAnsi="宋体" w:eastAsia="宋体" w:cs="Times New Roman"/>
                <w:sz w:val="24"/>
                <w:szCs w:val="28"/>
              </w:rPr>
            </w:pPr>
            <w:r>
              <w:rPr>
                <w:rFonts w:hint="eastAsia" w:ascii="宋体" w:hAnsi="宋体" w:eastAsia="宋体" w:cs="Times New Roman"/>
                <w:sz w:val="24"/>
                <w:szCs w:val="28"/>
              </w:rPr>
              <w:t>3、投标人需对声明的真实性负责，中标结果将同时公告中标供应商的《中小企业声明函》，投标人提供的声明函内容不实的，则属于提供虚假材料谋取中标情形，依照《政府采购法》等国家有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2"/>
            <w:noWrap w:val="0"/>
            <w:vAlign w:val="center"/>
          </w:tcPr>
          <w:p>
            <w:pPr>
              <w:spacing w:line="360" w:lineRule="auto"/>
              <w:rPr>
                <w:rFonts w:ascii="宋体" w:hAnsi="宋体" w:eastAsia="宋体" w:cs="Times New Roman"/>
                <w:sz w:val="24"/>
                <w:szCs w:val="28"/>
              </w:rPr>
            </w:pPr>
            <w:r>
              <w:rPr>
                <w:rFonts w:hint="eastAsia" w:ascii="宋体" w:hAnsi="宋体" w:eastAsia="宋体" w:cs="Times New Roman"/>
                <w:sz w:val="24"/>
                <w:szCs w:val="28"/>
              </w:rPr>
              <w:t>注：1、促进中小企业发展、促进残疾人就业、支持监狱企业发展的优惠政策只适用一次，供应商不重复享受优惠政策。</w:t>
            </w:r>
          </w:p>
          <w:p>
            <w:pPr>
              <w:spacing w:line="360" w:lineRule="auto"/>
              <w:rPr>
                <w:rFonts w:ascii="宋体" w:hAnsi="宋体" w:eastAsia="宋体" w:cs="Times New Roman"/>
                <w:sz w:val="24"/>
                <w:szCs w:val="28"/>
              </w:rPr>
            </w:pPr>
            <w:r>
              <w:rPr>
                <w:rFonts w:hint="eastAsia" w:ascii="宋体" w:hAnsi="宋体" w:eastAsia="宋体" w:cs="Times New Roman"/>
                <w:sz w:val="24"/>
                <w:szCs w:val="28"/>
              </w:rPr>
              <w:t>2、根据财政部、工信部《政府采购促进中小企业发展管理办法》、《福建省财政厅关于促进中小企业政府采购合同融资健康开展的通知》等政策，投标人中标后如需融资，可通过“福建省政府采购金融服务网”（网址：</w:t>
            </w:r>
            <w:r>
              <w:rPr>
                <w:rFonts w:ascii="宋体" w:hAnsi="宋体" w:eastAsia="宋体" w:cs="Times New Roman"/>
                <w:sz w:val="24"/>
                <w:szCs w:val="28"/>
              </w:rPr>
              <w:t>https://zfcg.czt.fujian.gov.cn/zcdservice/zcd/home/index</w:t>
            </w:r>
            <w:r>
              <w:rPr>
                <w:rFonts w:hint="eastAsia" w:ascii="宋体" w:hAnsi="宋体" w:eastAsia="宋体" w:cs="Times New Roman"/>
                <w:sz w:val="24"/>
                <w:szCs w:val="28"/>
              </w:rPr>
              <w:t>）办理合同融资。</w:t>
            </w:r>
          </w:p>
        </w:tc>
      </w:tr>
    </w:tbl>
    <w:p>
      <w:pPr>
        <w:spacing w:line="360" w:lineRule="auto"/>
        <w:rPr>
          <w:rFonts w:ascii="宋体" w:hAnsi="宋体" w:eastAsia="宋体" w:cs="宋体"/>
          <w:kern w:val="0"/>
          <w:sz w:val="24"/>
          <w:szCs w:val="24"/>
        </w:rPr>
        <w:sectPr>
          <w:footerReference r:id="rId5" w:type="first"/>
          <w:footerReference r:id="rId4" w:type="default"/>
          <w:pgSz w:w="11906" w:h="16838"/>
          <w:pgMar w:top="1418" w:right="1418" w:bottom="1418" w:left="1418" w:header="851" w:footer="992" w:gutter="0"/>
          <w:cols w:space="720" w:num="1"/>
          <w:titlePg/>
          <w:docGrid w:linePitch="312" w:charSpace="0"/>
        </w:sectPr>
      </w:pPr>
    </w:p>
    <w:p>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三、对《第七章  电子投标文件格式》的内容补充如下：</w:t>
      </w:r>
    </w:p>
    <w:p>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（一）《资格及资信证明部分》的格式补充如下：</w:t>
      </w:r>
    </w:p>
    <w:p>
      <w:pPr>
        <w:spacing w:beforeLines="100" w:afterLines="100"/>
        <w:jc w:val="center"/>
        <w:rPr>
          <w:rFonts w:ascii="宋体" w:hAnsi="宋体" w:eastAsia="宋体" w:cs="Times New Roman"/>
          <w:b/>
          <w:spacing w:val="6"/>
          <w:sz w:val="32"/>
          <w:szCs w:val="32"/>
        </w:rPr>
      </w:pPr>
      <w:r>
        <w:rPr>
          <w:rFonts w:hint="eastAsia" w:ascii="宋体" w:hAnsi="宋体" w:eastAsia="宋体" w:cs="Times New Roman"/>
          <w:b/>
          <w:spacing w:val="6"/>
          <w:sz w:val="32"/>
          <w:szCs w:val="32"/>
        </w:rPr>
        <w:t>资格承诺函</w:t>
      </w:r>
    </w:p>
    <w:p>
      <w:pPr>
        <w:spacing w:line="560" w:lineRule="exact"/>
        <w:rPr>
          <w:rFonts w:ascii="仿宋_GB2312" w:hAnsi="仿宋" w:eastAsia="仿宋_GB2312" w:cs="Times New Roman"/>
          <w:sz w:val="32"/>
          <w:szCs w:val="32"/>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（采购人、采购代理机构）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我单位参与</w:t>
      </w:r>
      <w:r>
        <w:rPr>
          <w:rFonts w:hint="eastAsia" w:ascii="宋体" w:hAnsi="宋体" w:eastAsia="宋体" w:cs="Times New Roman"/>
          <w:sz w:val="24"/>
          <w:szCs w:val="24"/>
          <w:u w:val="single"/>
        </w:rPr>
        <w:t xml:space="preserve">  （项目名称）  （项目编号：    ）</w:t>
      </w:r>
      <w:r>
        <w:rPr>
          <w:rFonts w:hint="eastAsia" w:ascii="宋体" w:hAnsi="宋体" w:eastAsia="宋体" w:cs="Times New Roman"/>
          <w:sz w:val="24"/>
          <w:szCs w:val="24"/>
        </w:rPr>
        <w:t>项目的政府采购活动，现承诺如下：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1.我单位具有符合采购文件资格要求的财务状况报告。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2.我单位具有符合采购文件资格要求的依法缴纳税收的相关证明材料。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3.我单位具有符合采购文件资格要求的依法缴纳社会保障资金的相关证明材料。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若我单位承诺不实，自愿承担提供虚假材料谋取中标、成交的法律责任。</w:t>
      </w:r>
    </w:p>
    <w:p>
      <w:pPr>
        <w:spacing w:line="560" w:lineRule="exact"/>
        <w:ind w:firstLine="480" w:firstLineChars="200"/>
        <w:rPr>
          <w:rFonts w:ascii="宋体" w:hAnsi="宋体" w:eastAsia="宋体" w:cs="Times New Roman"/>
          <w:sz w:val="24"/>
          <w:szCs w:val="24"/>
        </w:rPr>
      </w:pPr>
    </w:p>
    <w:p>
      <w:pPr>
        <w:spacing w:line="560" w:lineRule="exact"/>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承诺供应商（全称并加盖公章）：</w:t>
      </w:r>
      <w:r>
        <w:rPr>
          <w:rFonts w:hint="eastAsia" w:ascii="宋体" w:hAnsi="宋体" w:eastAsia="宋体" w:cs="Times New Roman"/>
          <w:sz w:val="24"/>
          <w:szCs w:val="24"/>
          <w:u w:val="single"/>
        </w:rPr>
        <w:t xml:space="preserve">              </w:t>
      </w:r>
    </w:p>
    <w:p>
      <w:pPr>
        <w:spacing w:line="560" w:lineRule="exact"/>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单位负责人或授权代表（签字）：</w:t>
      </w:r>
      <w:r>
        <w:rPr>
          <w:rFonts w:hint="eastAsia" w:ascii="宋体" w:hAnsi="宋体" w:eastAsia="宋体" w:cs="Times New Roman"/>
          <w:sz w:val="24"/>
          <w:szCs w:val="24"/>
          <w:u w:val="single"/>
        </w:rPr>
        <w:t xml:space="preserve">              </w:t>
      </w:r>
    </w:p>
    <w:p>
      <w:pPr>
        <w:spacing w:line="560" w:lineRule="exact"/>
        <w:ind w:firstLine="480" w:firstLineChars="200"/>
        <w:rPr>
          <w:rFonts w:ascii="宋体" w:hAnsi="宋体" w:eastAsia="宋体" w:cs="Times New Roman"/>
          <w:sz w:val="24"/>
          <w:szCs w:val="24"/>
          <w:u w:val="single"/>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p>
    <w:p>
      <w:pPr>
        <w:spacing w:line="560" w:lineRule="exact"/>
        <w:rPr>
          <w:rFonts w:ascii="宋体" w:hAnsi="宋体" w:eastAsia="宋体" w:cs="Times New Roman"/>
          <w:sz w:val="24"/>
          <w:szCs w:val="24"/>
        </w:rPr>
      </w:pPr>
      <w:r>
        <w:rPr>
          <w:rFonts w:hint="eastAsia"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说明：1.供应商可自行选择是否提供本承诺函，若不提供本承诺函的，应按采购文件要求提供相应的证明材料。</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2.供应商可删减承诺事项，如删去承诺第1项的，则应按采购文件要求提供财务状况报告。</w:t>
      </w:r>
    </w:p>
    <w:p>
      <w:pPr>
        <w:spacing w:line="360" w:lineRule="auto"/>
        <w:rPr>
          <w:rFonts w:ascii="宋体" w:hAnsi="宋体" w:eastAsia="宋体" w:cs="Times New Roman"/>
          <w:sz w:val="24"/>
          <w:szCs w:val="24"/>
        </w:rPr>
        <w:sectPr>
          <w:pgSz w:w="11906" w:h="16838"/>
          <w:pgMar w:top="1418" w:right="1418" w:bottom="1418" w:left="1418" w:header="851" w:footer="992" w:gutter="0"/>
          <w:cols w:space="720" w:num="1"/>
          <w:titlePg/>
          <w:docGrid w:linePitch="312" w:charSpace="0"/>
        </w:sectPr>
      </w:pPr>
    </w:p>
    <w:p>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（二）《报价部分》的格式更改如下：</w:t>
      </w:r>
    </w:p>
    <w:p>
      <w:pPr>
        <w:widowControl/>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三-2小型、微型企业产品等价格扣除证明材料（若有）</w:t>
      </w:r>
    </w:p>
    <w:p>
      <w:pPr>
        <w:spacing w:beforeLines="100" w:afterLines="100"/>
        <w:jc w:val="center"/>
        <w:rPr>
          <w:rFonts w:ascii="宋体" w:hAnsi="宋体" w:eastAsia="宋体" w:cs="Times New Roman"/>
          <w:b/>
          <w:spacing w:val="6"/>
          <w:sz w:val="32"/>
          <w:szCs w:val="32"/>
        </w:rPr>
      </w:pPr>
      <w:r>
        <w:rPr>
          <w:rFonts w:hint="eastAsia" w:ascii="宋体" w:hAnsi="宋体" w:eastAsia="宋体" w:cs="Times New Roman"/>
          <w:b/>
          <w:spacing w:val="6"/>
          <w:sz w:val="32"/>
          <w:szCs w:val="32"/>
        </w:rPr>
        <w:t>中小企业声明函（货物）</w:t>
      </w:r>
    </w:p>
    <w:p>
      <w:pPr>
        <w:spacing w:line="360" w:lineRule="auto"/>
        <w:ind w:firstLine="480" w:firstLineChars="200"/>
        <w:rPr>
          <w:rFonts w:ascii="宋体" w:hAnsi="宋体" w:eastAsia="宋体" w:cs="Times New Roman"/>
          <w:sz w:val="24"/>
          <w:szCs w:val="32"/>
          <w:highlight w:val="none"/>
        </w:rPr>
      </w:pPr>
      <w:r>
        <w:rPr>
          <w:rFonts w:hint="eastAsia" w:ascii="宋体" w:hAnsi="宋体" w:eastAsia="宋体" w:cs="Times New Roman"/>
          <w:sz w:val="24"/>
          <w:szCs w:val="32"/>
        </w:rPr>
        <w:t>本公司（联合体）郑重声明，根据《政府采购促进中小企业发展管理办法》（财库〔</w:t>
      </w:r>
      <w:r>
        <w:rPr>
          <w:rFonts w:hint="eastAsia" w:ascii="宋体" w:hAnsi="宋体" w:eastAsia="宋体" w:cs="Times New Roman"/>
          <w:sz w:val="24"/>
          <w:szCs w:val="32"/>
          <w:highlight w:val="none"/>
        </w:rPr>
        <w:t>2020〕46号）的规定，本公司（联合体）参加【</w:t>
      </w:r>
      <w:r>
        <w:rPr>
          <w:rFonts w:hint="eastAsia" w:ascii="宋体" w:hAnsi="宋体" w:eastAsia="宋体" w:cs="Times New Roman"/>
          <w:sz w:val="24"/>
          <w:szCs w:val="32"/>
          <w:highlight w:val="none"/>
          <w:lang w:eastAsia="zh-CN"/>
        </w:rPr>
        <w:t>厦门市苏颂医院</w:t>
      </w:r>
      <w:r>
        <w:rPr>
          <w:rFonts w:hint="eastAsia" w:ascii="宋体" w:hAnsi="宋体" w:eastAsia="宋体" w:cs="Times New Roman"/>
          <w:sz w:val="24"/>
          <w:szCs w:val="32"/>
          <w:highlight w:val="none"/>
        </w:rPr>
        <w:t>】的【</w:t>
      </w:r>
      <w:r>
        <w:rPr>
          <w:rFonts w:hint="eastAsia" w:ascii="宋体" w:hAnsi="宋体" w:eastAsia="宋体" w:cs="Times New Roman"/>
          <w:sz w:val="24"/>
          <w:szCs w:val="32"/>
          <w:highlight w:val="none"/>
          <w:lang w:eastAsia="zh-CN"/>
        </w:rPr>
        <w:t>彩超一批</w:t>
      </w:r>
      <w:r>
        <w:rPr>
          <w:rFonts w:hint="eastAsia" w:ascii="宋体" w:hAnsi="宋体" w:eastAsia="宋体" w:cs="Times New Roman"/>
          <w:sz w:val="24"/>
          <w:szCs w:val="32"/>
          <w:highlight w:val="none"/>
        </w:rPr>
        <w:t>】采购活动，属于【工业】行业，提供的货物全部由符合政策要求的中小企业制造。相关企业（含联合体中的中小企业、签订分包意向协议的中小企业） 的具体情况如下：</w:t>
      </w:r>
    </w:p>
    <w:tbl>
      <w:tblPr>
        <w:tblStyle w:val="19"/>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02"/>
        <w:gridCol w:w="843"/>
        <w:gridCol w:w="932"/>
        <w:gridCol w:w="936"/>
        <w:gridCol w:w="1084"/>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spacing w:line="360" w:lineRule="auto"/>
              <w:jc w:val="center"/>
              <w:rPr>
                <w:rFonts w:ascii="宋体" w:hAnsi="宋体" w:eastAsia="宋体" w:cs="Times New Roman"/>
                <w:sz w:val="24"/>
                <w:szCs w:val="32"/>
                <w:highlight w:val="none"/>
              </w:rPr>
            </w:pPr>
            <w:r>
              <w:rPr>
                <w:rFonts w:ascii="宋体" w:hAnsi="宋体" w:eastAsia="宋体" w:cs="Times New Roman"/>
                <w:sz w:val="24"/>
                <w:szCs w:val="32"/>
                <w:highlight w:val="none"/>
              </w:rPr>
              <w:t>序号</w:t>
            </w:r>
          </w:p>
        </w:tc>
        <w:tc>
          <w:tcPr>
            <w:tcW w:w="1402" w:type="dxa"/>
            <w:noWrap w:val="0"/>
            <w:vAlign w:val="center"/>
          </w:tcPr>
          <w:p>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标的名称</w:t>
            </w:r>
          </w:p>
        </w:tc>
        <w:tc>
          <w:tcPr>
            <w:tcW w:w="843" w:type="dxa"/>
            <w:noWrap w:val="0"/>
            <w:vAlign w:val="center"/>
          </w:tcPr>
          <w:p>
            <w:pPr>
              <w:spacing w:line="360" w:lineRule="auto"/>
              <w:jc w:val="center"/>
              <w:rPr>
                <w:rFonts w:ascii="宋体" w:hAnsi="宋体" w:eastAsia="宋体" w:cs="Times New Roman"/>
                <w:sz w:val="24"/>
                <w:szCs w:val="32"/>
                <w:highlight w:val="none"/>
              </w:rPr>
            </w:pPr>
            <w:r>
              <w:rPr>
                <w:rFonts w:ascii="宋体" w:hAnsi="宋体" w:eastAsia="宋体" w:cs="Times New Roman"/>
                <w:sz w:val="24"/>
                <w:szCs w:val="32"/>
                <w:highlight w:val="none"/>
              </w:rPr>
              <w:t>行业</w:t>
            </w:r>
          </w:p>
        </w:tc>
        <w:tc>
          <w:tcPr>
            <w:tcW w:w="932" w:type="dxa"/>
            <w:noWrap w:val="0"/>
            <w:vAlign w:val="center"/>
          </w:tcPr>
          <w:p>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制造商全称</w:t>
            </w:r>
          </w:p>
        </w:tc>
        <w:tc>
          <w:tcPr>
            <w:tcW w:w="936" w:type="dxa"/>
            <w:noWrap w:val="0"/>
            <w:vAlign w:val="center"/>
          </w:tcPr>
          <w:p>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从业</w:t>
            </w:r>
          </w:p>
          <w:p>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人员</w:t>
            </w:r>
          </w:p>
          <w:p>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（人）</w:t>
            </w:r>
          </w:p>
        </w:tc>
        <w:tc>
          <w:tcPr>
            <w:tcW w:w="1084" w:type="dxa"/>
            <w:noWrap w:val="0"/>
            <w:vAlign w:val="center"/>
          </w:tcPr>
          <w:p>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营业</w:t>
            </w:r>
          </w:p>
          <w:p>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收入</w:t>
            </w:r>
          </w:p>
          <w:p>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（万元）</w:t>
            </w:r>
          </w:p>
        </w:tc>
        <w:tc>
          <w:tcPr>
            <w:tcW w:w="1134" w:type="dxa"/>
            <w:noWrap w:val="0"/>
            <w:vAlign w:val="center"/>
          </w:tcPr>
          <w:p>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资产</w:t>
            </w:r>
          </w:p>
          <w:p>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总额</w:t>
            </w:r>
          </w:p>
          <w:p>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（万元）</w:t>
            </w:r>
          </w:p>
        </w:tc>
        <w:tc>
          <w:tcPr>
            <w:tcW w:w="2268" w:type="dxa"/>
            <w:noWrap w:val="0"/>
            <w:vAlign w:val="center"/>
          </w:tcPr>
          <w:p>
            <w:pPr>
              <w:spacing w:line="360" w:lineRule="auto"/>
              <w:jc w:val="center"/>
              <w:rPr>
                <w:rFonts w:ascii="宋体" w:hAnsi="宋体" w:eastAsia="宋体" w:cs="Times New Roman"/>
                <w:sz w:val="24"/>
                <w:szCs w:val="32"/>
                <w:highlight w:val="none"/>
              </w:rPr>
            </w:pPr>
            <w:r>
              <w:rPr>
                <w:rFonts w:ascii="宋体" w:hAnsi="宋体" w:eastAsia="宋体" w:cs="Times New Roman"/>
                <w:sz w:val="24"/>
                <w:szCs w:val="32"/>
                <w:highlight w:val="none"/>
              </w:rPr>
              <w:t>企业类型</w:t>
            </w:r>
          </w:p>
          <w:p>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（根据划型标准填写中型企业或小型企业或微型企业）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noWrap w:val="0"/>
            <w:vAlign w:val="center"/>
          </w:tcPr>
          <w:p>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rPr>
              <w:t>1</w:t>
            </w:r>
          </w:p>
        </w:tc>
        <w:tc>
          <w:tcPr>
            <w:tcW w:w="1402" w:type="dxa"/>
            <w:noWrap w:val="0"/>
            <w:vAlign w:val="center"/>
          </w:tcPr>
          <w:p>
            <w:pPr>
              <w:spacing w:line="360" w:lineRule="auto"/>
              <w:jc w:val="center"/>
              <w:rPr>
                <w:rFonts w:ascii="宋体" w:hAnsi="宋体" w:eastAsia="宋体" w:cs="Times New Roman"/>
                <w:sz w:val="24"/>
                <w:szCs w:val="32"/>
                <w:highlight w:val="none"/>
              </w:rPr>
            </w:pPr>
            <w:r>
              <w:rPr>
                <w:rFonts w:hint="eastAsia" w:ascii="宋体" w:hAnsi="宋体" w:eastAsia="宋体" w:cs="Times New Roman"/>
                <w:sz w:val="24"/>
                <w:szCs w:val="32"/>
                <w:highlight w:val="none"/>
                <w:lang w:val="en-US" w:eastAsia="zh-CN"/>
              </w:rPr>
              <w:t>彩色多普勒超声诊断仪</w:t>
            </w:r>
          </w:p>
        </w:tc>
        <w:tc>
          <w:tcPr>
            <w:tcW w:w="843" w:type="dxa"/>
            <w:noWrap w:val="0"/>
            <w:vAlign w:val="center"/>
          </w:tcPr>
          <w:p>
            <w:pPr>
              <w:spacing w:line="360" w:lineRule="auto"/>
              <w:jc w:val="center"/>
              <w:rPr>
                <w:rFonts w:ascii="宋体" w:hAnsi="宋体" w:eastAsia="宋体" w:cs="Times New Roman"/>
                <w:sz w:val="24"/>
                <w:szCs w:val="32"/>
                <w:highlight w:val="none"/>
              </w:rPr>
            </w:pPr>
            <w:r>
              <w:rPr>
                <w:rFonts w:ascii="宋体" w:hAnsi="宋体" w:eastAsia="宋体" w:cs="Times New Roman"/>
                <w:sz w:val="24"/>
                <w:szCs w:val="32"/>
                <w:highlight w:val="none"/>
              </w:rPr>
              <w:t>工业</w:t>
            </w:r>
          </w:p>
        </w:tc>
        <w:tc>
          <w:tcPr>
            <w:tcW w:w="932" w:type="dxa"/>
            <w:noWrap w:val="0"/>
            <w:vAlign w:val="center"/>
          </w:tcPr>
          <w:p>
            <w:pPr>
              <w:spacing w:line="360" w:lineRule="auto"/>
              <w:jc w:val="center"/>
              <w:rPr>
                <w:rFonts w:ascii="宋体" w:hAnsi="宋体" w:eastAsia="宋体" w:cs="Times New Roman"/>
                <w:sz w:val="24"/>
                <w:szCs w:val="32"/>
                <w:highlight w:val="none"/>
              </w:rPr>
            </w:pPr>
          </w:p>
        </w:tc>
        <w:tc>
          <w:tcPr>
            <w:tcW w:w="936" w:type="dxa"/>
            <w:noWrap w:val="0"/>
            <w:vAlign w:val="center"/>
          </w:tcPr>
          <w:p>
            <w:pPr>
              <w:spacing w:line="360" w:lineRule="auto"/>
              <w:jc w:val="center"/>
              <w:rPr>
                <w:rFonts w:ascii="宋体" w:hAnsi="宋体" w:eastAsia="宋体" w:cs="Times New Roman"/>
                <w:sz w:val="24"/>
                <w:szCs w:val="32"/>
                <w:highlight w:val="none"/>
              </w:rPr>
            </w:pPr>
          </w:p>
        </w:tc>
        <w:tc>
          <w:tcPr>
            <w:tcW w:w="1084" w:type="dxa"/>
            <w:noWrap w:val="0"/>
            <w:vAlign w:val="center"/>
          </w:tcPr>
          <w:p>
            <w:pPr>
              <w:spacing w:line="360" w:lineRule="auto"/>
              <w:jc w:val="center"/>
              <w:rPr>
                <w:rFonts w:ascii="宋体" w:hAnsi="宋体" w:eastAsia="宋体" w:cs="Times New Roman"/>
                <w:sz w:val="24"/>
                <w:szCs w:val="32"/>
                <w:highlight w:val="none"/>
              </w:rPr>
            </w:pPr>
          </w:p>
        </w:tc>
        <w:tc>
          <w:tcPr>
            <w:tcW w:w="1134" w:type="dxa"/>
            <w:noWrap w:val="0"/>
            <w:vAlign w:val="center"/>
          </w:tcPr>
          <w:p>
            <w:pPr>
              <w:spacing w:line="360" w:lineRule="auto"/>
              <w:jc w:val="center"/>
              <w:rPr>
                <w:rFonts w:ascii="宋体" w:hAnsi="宋体" w:eastAsia="宋体" w:cs="Times New Roman"/>
                <w:sz w:val="24"/>
                <w:szCs w:val="32"/>
                <w:highlight w:val="none"/>
              </w:rPr>
            </w:pPr>
          </w:p>
        </w:tc>
        <w:tc>
          <w:tcPr>
            <w:tcW w:w="2268" w:type="dxa"/>
            <w:noWrap w:val="0"/>
            <w:vAlign w:val="center"/>
          </w:tcPr>
          <w:p>
            <w:pPr>
              <w:spacing w:line="360" w:lineRule="auto"/>
              <w:jc w:val="center"/>
              <w:rPr>
                <w:rFonts w:ascii="宋体" w:hAnsi="宋体" w:eastAsia="宋体" w:cs="Times New Roman"/>
                <w:sz w:val="24"/>
                <w:szCs w:val="32"/>
                <w:highlight w:val="none"/>
              </w:rPr>
            </w:pPr>
          </w:p>
        </w:tc>
      </w:tr>
    </w:tbl>
    <w:p>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以上企业，不属于大企业的分支机构，不存在控股股东为大企业的情形，也不存在与大企业的负责人为同一人的情形。</w:t>
      </w:r>
    </w:p>
    <w:p>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本企业对上述声明内容的真实性负责。如有虚假，将依法承担相应责任。</w:t>
      </w:r>
    </w:p>
    <w:p>
      <w:pPr>
        <w:ind w:firstLine="5040" w:firstLineChars="2100"/>
        <w:rPr>
          <w:rFonts w:ascii="宋体" w:hAnsi="宋体" w:eastAsia="宋体" w:cs="Times New Roman"/>
          <w:sz w:val="24"/>
          <w:szCs w:val="24"/>
          <w:u w:val="single"/>
        </w:rPr>
      </w:pPr>
      <w:r>
        <w:rPr>
          <w:rFonts w:hint="eastAsia" w:ascii="宋体" w:hAnsi="宋体" w:eastAsia="宋体" w:cs="Times New Roman"/>
          <w:sz w:val="24"/>
          <w:szCs w:val="24"/>
        </w:rPr>
        <w:t>企业名称（盖章）：</w:t>
      </w:r>
      <w:r>
        <w:rPr>
          <w:rFonts w:ascii="宋体" w:hAnsi="宋体" w:eastAsia="宋体" w:cs="Times New Roman"/>
          <w:sz w:val="24"/>
          <w:szCs w:val="24"/>
          <w:u w:val="single"/>
        </w:rPr>
        <w:t xml:space="preserve">        </w:t>
      </w:r>
    </w:p>
    <w:p>
      <w:pPr>
        <w:ind w:firstLine="5040" w:firstLineChars="2100"/>
        <w:rPr>
          <w:rFonts w:ascii="宋体" w:hAnsi="宋体" w:eastAsia="宋体" w:cs="Times New Roman"/>
          <w:sz w:val="24"/>
          <w:szCs w:val="24"/>
          <w:u w:val="single"/>
        </w:rPr>
      </w:pPr>
      <w:r>
        <w:rPr>
          <w:rFonts w:hint="eastAsia" w:ascii="宋体" w:hAnsi="宋体" w:eastAsia="宋体" w:cs="Times New Roman"/>
          <w:sz w:val="24"/>
          <w:szCs w:val="24"/>
        </w:rPr>
        <w:t>日期：</w:t>
      </w:r>
      <w:r>
        <w:rPr>
          <w:rFonts w:ascii="宋体" w:hAnsi="宋体" w:eastAsia="宋体" w:cs="Times New Roman"/>
          <w:sz w:val="24"/>
          <w:szCs w:val="24"/>
          <w:u w:val="single"/>
        </w:rPr>
        <w:t xml:space="preserve">                   </w:t>
      </w:r>
    </w:p>
    <w:p>
      <w:pPr>
        <w:rPr>
          <w:rFonts w:ascii="Calibri" w:hAnsi="Calibri" w:eastAsia="宋体" w:cs="Times New Roman"/>
        </w:rPr>
      </w:pPr>
    </w:p>
    <w:p>
      <w:pPr>
        <w:spacing w:line="276" w:lineRule="auto"/>
        <w:rPr>
          <w:rFonts w:ascii="宋体" w:hAnsi="宋体" w:eastAsia="宋体" w:cs="Times New Roman"/>
          <w:sz w:val="24"/>
          <w:szCs w:val="24"/>
        </w:rPr>
      </w:pPr>
      <w:r>
        <w:rPr>
          <w:rFonts w:hint="eastAsia" w:ascii="宋体" w:hAnsi="宋体" w:eastAsia="宋体" w:cs="Times New Roman"/>
          <w:sz w:val="24"/>
          <w:szCs w:val="24"/>
        </w:rPr>
        <w:t>填写说明：</w:t>
      </w:r>
    </w:p>
    <w:p>
      <w:pPr>
        <w:spacing w:line="276" w:lineRule="auto"/>
        <w:ind w:firstLine="480" w:firstLineChars="200"/>
        <w:rPr>
          <w:rFonts w:ascii="宋体" w:hAnsi="宋体" w:eastAsia="宋体" w:cs="Times New Roman"/>
          <w:sz w:val="24"/>
          <w:szCs w:val="24"/>
          <w:highlight w:val="none"/>
        </w:rPr>
      </w:pPr>
      <w:r>
        <w:rPr>
          <w:rFonts w:hint="eastAsia" w:ascii="宋体" w:hAnsi="宋体" w:eastAsia="宋体" w:cs="Times New Roman"/>
          <w:sz w:val="24"/>
          <w:szCs w:val="24"/>
          <w:highlight w:val="none"/>
        </w:rPr>
        <w:t>1、“工业”行业的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pacing w:line="276"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填报的企业类型与划型标准不对应的，将可能导致不享受价格扣除。</w:t>
      </w:r>
    </w:p>
    <w:p>
      <w:pPr>
        <w:spacing w:line="276"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从业人员、营业收入、资产总额填报上一年度数据，无上一年度数据的新成立企业可不填报，在空格内填“\”即可。若填报的数据与投标人自己提供的上一年度财务审计报告数据有出入的，将可能导致不享受价格扣除。</w:t>
      </w:r>
    </w:p>
    <w:p>
      <w:pPr>
        <w:spacing w:line="276"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3、表格内的空格都要填写，同时不得删减、更改内容，否则将可能导致不享受价格扣除。</w:t>
      </w:r>
    </w:p>
    <w:p>
      <w:pPr>
        <w:spacing w:line="276" w:lineRule="auto"/>
        <w:ind w:firstLine="480" w:firstLineChars="200"/>
        <w:rPr>
          <w:rFonts w:ascii="宋体" w:hAnsi="宋体" w:eastAsia="宋体" w:cs="Times New Roman"/>
          <w:sz w:val="24"/>
          <w:szCs w:val="24"/>
        </w:rPr>
        <w:sectPr>
          <w:pgSz w:w="11906" w:h="16838"/>
          <w:pgMar w:top="1418" w:right="1418" w:bottom="1418" w:left="1418" w:header="851" w:footer="992" w:gutter="0"/>
          <w:cols w:space="720" w:num="1"/>
          <w:docGrid w:linePitch="312" w:charSpace="0"/>
        </w:sectPr>
      </w:pPr>
    </w:p>
    <w:p>
      <w:pPr>
        <w:spacing w:line="360" w:lineRule="auto"/>
        <w:rPr>
          <w:rFonts w:ascii="黑体" w:hAnsi="黑体" w:eastAsia="黑体" w:cs="宋体"/>
          <w:b/>
          <w:kern w:val="0"/>
          <w:sz w:val="32"/>
          <w:szCs w:val="24"/>
        </w:rPr>
      </w:pPr>
      <w:r>
        <w:rPr>
          <w:rFonts w:hint="eastAsia" w:ascii="黑体" w:hAnsi="黑体" w:eastAsia="黑体" w:cs="宋体"/>
          <w:b/>
          <w:kern w:val="0"/>
          <w:sz w:val="32"/>
          <w:szCs w:val="24"/>
        </w:rPr>
        <w:t>（三）《技术商务部分》的格式补充如下：</w:t>
      </w:r>
    </w:p>
    <w:p>
      <w:pPr>
        <w:widowControl/>
        <w:spacing w:line="360" w:lineRule="auto"/>
        <w:jc w:val="center"/>
        <w:rPr>
          <w:rFonts w:ascii="黑体" w:hAnsi="黑体" w:eastAsia="黑体" w:cs="宋体"/>
          <w:b/>
          <w:bCs/>
          <w:kern w:val="0"/>
          <w:sz w:val="28"/>
          <w:szCs w:val="18"/>
        </w:rPr>
      </w:pPr>
    </w:p>
    <w:p>
      <w:pPr>
        <w:widowControl/>
        <w:spacing w:line="360" w:lineRule="auto"/>
        <w:jc w:val="center"/>
        <w:rPr>
          <w:rFonts w:ascii="黑体" w:hAnsi="黑体" w:eastAsia="黑体" w:cs="宋体"/>
          <w:b/>
          <w:bCs/>
          <w:kern w:val="0"/>
          <w:sz w:val="28"/>
          <w:szCs w:val="18"/>
        </w:rPr>
      </w:pPr>
      <w:r>
        <w:rPr>
          <w:rFonts w:ascii="黑体" w:hAnsi="黑体" w:eastAsia="黑体" w:cs="宋体"/>
          <w:b/>
          <w:bCs/>
          <w:kern w:val="0"/>
          <w:sz w:val="28"/>
          <w:szCs w:val="18"/>
        </w:rPr>
        <w:t>四、投标人提交的其他资料</w:t>
      </w:r>
    </w:p>
    <w:p>
      <w:pPr>
        <w:widowControl/>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t>（一）带“★”号条款逐条响应情况表</w:t>
      </w:r>
    </w:p>
    <w:p>
      <w:pPr>
        <w:spacing w:line="360" w:lineRule="auto"/>
        <w:rPr>
          <w:rFonts w:ascii="宋体" w:hAnsi="宋体" w:eastAsia="宋体" w:cs="Times New Roman"/>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Times New Roman"/>
          <w:sz w:val="24"/>
          <w:szCs w:val="24"/>
        </w:rPr>
        <w:t xml:space="preserve">     招标编号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tbl>
      <w:tblPr>
        <w:tblStyle w:val="5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3333"/>
        <w:gridCol w:w="1836"/>
        <w:gridCol w:w="2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968" w:type="dxa"/>
            <w:noWrap w:val="0"/>
            <w:vAlign w:val="center"/>
          </w:tcPr>
          <w:p>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条款号</w:t>
            </w:r>
          </w:p>
        </w:tc>
        <w:tc>
          <w:tcPr>
            <w:tcW w:w="3333" w:type="dxa"/>
            <w:noWrap w:val="0"/>
            <w:vAlign w:val="center"/>
          </w:tcPr>
          <w:p>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招标文件中带“★”号的条款</w:t>
            </w:r>
          </w:p>
        </w:tc>
        <w:tc>
          <w:tcPr>
            <w:tcW w:w="1836" w:type="dxa"/>
            <w:noWrap w:val="0"/>
            <w:vAlign w:val="center"/>
          </w:tcPr>
          <w:p>
            <w:pPr>
              <w:spacing w:line="360" w:lineRule="auto"/>
              <w:jc w:val="center"/>
              <w:rPr>
                <w:rFonts w:ascii="宋体" w:hAnsi="宋体" w:eastAsia="宋体" w:cs="Times New Roman"/>
                <w:kern w:val="0"/>
                <w:sz w:val="20"/>
                <w:szCs w:val="24"/>
              </w:rPr>
            </w:pPr>
            <w:r>
              <w:rPr>
                <w:rFonts w:ascii="宋体" w:hAnsi="宋体" w:eastAsia="宋体" w:cs="Times New Roman"/>
                <w:kern w:val="0"/>
                <w:sz w:val="20"/>
                <w:szCs w:val="24"/>
              </w:rPr>
              <w:t>投标响应</w:t>
            </w:r>
            <w:r>
              <w:rPr>
                <w:rFonts w:hint="eastAsia" w:ascii="宋体" w:hAnsi="宋体" w:eastAsia="宋体" w:cs="Times New Roman"/>
                <w:kern w:val="0"/>
                <w:sz w:val="20"/>
                <w:szCs w:val="24"/>
              </w:rPr>
              <w:t>内容</w:t>
            </w:r>
          </w:p>
        </w:tc>
        <w:tc>
          <w:tcPr>
            <w:tcW w:w="2627" w:type="dxa"/>
            <w:noWrap w:val="0"/>
            <w:vAlign w:val="center"/>
          </w:tcPr>
          <w:p>
            <w:pPr>
              <w:spacing w:line="360" w:lineRule="auto"/>
              <w:jc w:val="center"/>
              <w:rPr>
                <w:rFonts w:ascii="宋体" w:hAnsi="宋体" w:eastAsia="宋体" w:cs="Times New Roman"/>
                <w:kern w:val="0"/>
                <w:sz w:val="20"/>
                <w:szCs w:val="24"/>
              </w:rPr>
            </w:pPr>
            <w:r>
              <w:rPr>
                <w:rFonts w:hint="eastAsia" w:ascii="宋体" w:hAnsi="宋体" w:eastAsia="宋体" w:cs="Times New Roman"/>
                <w:kern w:val="0"/>
                <w:sz w:val="20"/>
                <w:szCs w:val="24"/>
              </w:rPr>
              <w:t>对应投标文件页码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noWrap w:val="0"/>
            <w:vAlign w:val="center"/>
          </w:tcPr>
          <w:p>
            <w:pPr>
              <w:spacing w:line="360" w:lineRule="auto"/>
              <w:jc w:val="center"/>
              <w:rPr>
                <w:rFonts w:hint="eastAsia" w:ascii="宋体" w:hAnsi="宋体" w:eastAsia="宋体" w:cs="宋体"/>
                <w:b/>
                <w:kern w:val="0"/>
                <w:sz w:val="24"/>
                <w:szCs w:val="24"/>
                <w:lang w:eastAsia="zh-CN"/>
              </w:rPr>
            </w:pPr>
            <w:r>
              <w:rPr>
                <w:rFonts w:hint="eastAsia" w:ascii="宋体" w:hAnsi="宋体" w:eastAsia="宋体" w:cs="宋体"/>
                <w:b/>
                <w:bCs w:val="0"/>
                <w:kern w:val="0"/>
                <w:sz w:val="24"/>
                <w:szCs w:val="24"/>
              </w:rPr>
              <w:t>2.3</w:t>
            </w:r>
            <w:r>
              <w:rPr>
                <w:rFonts w:hint="eastAsia" w:ascii="宋体" w:hAnsi="宋体" w:cs="宋体"/>
                <w:b/>
                <w:bCs w:val="0"/>
                <w:kern w:val="0"/>
                <w:sz w:val="24"/>
                <w:szCs w:val="24"/>
                <w:lang w:val="en-US" w:eastAsia="zh-CN"/>
              </w:rPr>
              <w:t>2</w:t>
            </w:r>
          </w:p>
        </w:tc>
        <w:tc>
          <w:tcPr>
            <w:tcW w:w="3333" w:type="dxa"/>
            <w:noWrap w:val="0"/>
            <w:vAlign w:val="center"/>
          </w:tcPr>
          <w:p>
            <w:pPr>
              <w:spacing w:line="36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w:t>
            </w:r>
            <w:r>
              <w:rPr>
                <w:rFonts w:hint="eastAsia" w:ascii="宋体" w:hAnsi="宋体" w:eastAsia="宋体" w:cs="Times New Roman"/>
                <w:b/>
                <w:bCs w:val="0"/>
                <w:sz w:val="24"/>
                <w:szCs w:val="28"/>
                <w:highlight w:val="none"/>
                <w:lang w:val="en-US" w:eastAsia="zh-CN"/>
              </w:rPr>
              <w:t>以上2.1～2.31条款，除标注“▲”条款外，其余条款均为设备基本配置要求</w:t>
            </w:r>
            <w:r>
              <w:rPr>
                <w:rStyle w:val="47"/>
                <w:rFonts w:hint="eastAsia" w:ascii="宋体" w:hAnsi="宋体" w:eastAsia="宋体" w:cs="宋体"/>
                <w:b/>
                <w:bCs/>
                <w:sz w:val="24"/>
                <w:szCs w:val="24"/>
              </w:rPr>
              <w:t>及项目基本要求</w:t>
            </w:r>
            <w:r>
              <w:rPr>
                <w:rFonts w:hint="eastAsia" w:ascii="宋体" w:hAnsi="宋体" w:eastAsia="宋体" w:cs="Times New Roman"/>
                <w:b/>
                <w:bCs w:val="0"/>
                <w:sz w:val="24"/>
                <w:szCs w:val="28"/>
                <w:highlight w:val="none"/>
                <w:lang w:val="en-US" w:eastAsia="zh-CN"/>
              </w:rPr>
              <w:t>，投标人若存在不满足或负偏离的，投标无效。</w:t>
            </w:r>
          </w:p>
        </w:tc>
        <w:tc>
          <w:tcPr>
            <w:tcW w:w="1836" w:type="dxa"/>
            <w:noWrap w:val="0"/>
            <w:vAlign w:val="center"/>
          </w:tcPr>
          <w:p>
            <w:pPr>
              <w:spacing w:line="360" w:lineRule="auto"/>
              <w:jc w:val="center"/>
              <w:rPr>
                <w:rFonts w:ascii="宋体" w:hAnsi="宋体" w:eastAsia="宋体" w:cs="Times New Roman"/>
                <w:kern w:val="0"/>
                <w:sz w:val="20"/>
                <w:szCs w:val="24"/>
              </w:rPr>
            </w:pPr>
          </w:p>
        </w:tc>
        <w:tc>
          <w:tcPr>
            <w:tcW w:w="2627" w:type="dxa"/>
            <w:noWrap w:val="0"/>
            <w:vAlign w:val="center"/>
          </w:tcPr>
          <w:p>
            <w:pPr>
              <w:spacing w:line="360" w:lineRule="auto"/>
              <w:jc w:val="center"/>
              <w:rPr>
                <w:rFonts w:ascii="宋体" w:hAnsi="宋体" w:eastAsia="宋体" w:cs="Times New Roman"/>
                <w:kern w:val="0"/>
                <w:sz w:val="2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jc w:val="center"/>
        </w:trPr>
        <w:tc>
          <w:tcPr>
            <w:tcW w:w="968" w:type="dxa"/>
            <w:noWrap w:val="0"/>
            <w:vAlign w:val="center"/>
          </w:tcPr>
          <w:p>
            <w:pPr>
              <w:spacing w:line="36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8.2</w:t>
            </w:r>
          </w:p>
        </w:tc>
        <w:tc>
          <w:tcPr>
            <w:tcW w:w="3333" w:type="dxa"/>
            <w:noWrap w:val="0"/>
            <w:vAlign w:val="center"/>
          </w:tcPr>
          <w:p>
            <w:pPr>
              <w:spacing w:line="360" w:lineRule="auto"/>
              <w:jc w:val="center"/>
              <w:rPr>
                <w:rFonts w:hint="eastAsia" w:ascii="宋体" w:hAnsi="宋体" w:eastAsia="宋体" w:cs="宋体"/>
                <w:b/>
                <w:bCs w:val="0"/>
                <w:kern w:val="0"/>
                <w:sz w:val="24"/>
                <w:szCs w:val="24"/>
              </w:rPr>
            </w:pPr>
            <w:r>
              <w:rPr>
                <w:rFonts w:hint="eastAsia" w:ascii="宋体" w:hAnsi="宋体" w:eastAsia="宋体" w:cs="宋体"/>
                <w:b/>
                <w:bCs w:val="0"/>
                <w:kern w:val="0"/>
                <w:sz w:val="24"/>
                <w:szCs w:val="24"/>
              </w:rPr>
              <w:t>★质保期：不少于3年，自所有货物验收合格交付使用之日起计算，质保期内，设备发生任何质量问题，均由中标人负责免费修复，失效零件予以免费更换，更换时所发生的商检、运输、清关等费用均由中标人负责。投标人提供相应的书面承诺。</w:t>
            </w:r>
          </w:p>
        </w:tc>
        <w:tc>
          <w:tcPr>
            <w:tcW w:w="1836" w:type="dxa"/>
            <w:noWrap w:val="0"/>
            <w:vAlign w:val="center"/>
          </w:tcPr>
          <w:p>
            <w:pPr>
              <w:spacing w:line="360" w:lineRule="auto"/>
              <w:jc w:val="center"/>
              <w:rPr>
                <w:rFonts w:ascii="宋体" w:hAnsi="宋体" w:eastAsia="宋体" w:cs="Times New Roman"/>
                <w:kern w:val="0"/>
                <w:sz w:val="20"/>
                <w:szCs w:val="24"/>
              </w:rPr>
            </w:pPr>
          </w:p>
        </w:tc>
        <w:tc>
          <w:tcPr>
            <w:tcW w:w="2627" w:type="dxa"/>
            <w:noWrap w:val="0"/>
            <w:vAlign w:val="center"/>
          </w:tcPr>
          <w:p>
            <w:pPr>
              <w:spacing w:line="360" w:lineRule="auto"/>
              <w:jc w:val="center"/>
              <w:rPr>
                <w:rFonts w:ascii="宋体" w:hAnsi="宋体" w:eastAsia="宋体" w:cs="Times New Roman"/>
                <w:kern w:val="0"/>
                <w:sz w:val="20"/>
                <w:szCs w:val="24"/>
              </w:rPr>
            </w:pPr>
          </w:p>
        </w:tc>
      </w:tr>
    </w:tbl>
    <w:p>
      <w:pPr>
        <w:spacing w:line="380" w:lineRule="exact"/>
        <w:ind w:firstLine="482" w:firstLineChars="200"/>
        <w:jc w:val="left"/>
        <w:rPr>
          <w:rFonts w:ascii="宋体" w:hAnsi="宋体" w:eastAsia="宋体" w:cs="Times New Roman"/>
          <w:b/>
          <w:sz w:val="24"/>
          <w:szCs w:val="24"/>
        </w:rPr>
      </w:pPr>
      <w:r>
        <w:rPr>
          <w:rFonts w:hint="eastAsia" w:ascii="宋体" w:hAnsi="宋体" w:eastAsia="宋体" w:cs="Times New Roman"/>
          <w:b/>
          <w:sz w:val="24"/>
          <w:szCs w:val="24"/>
        </w:rPr>
        <w:t>以上★号条款为招标文件中的所有★号条款，无论是技术指标或文字描述要求，投标人必须逐条如实地书面响应。</w:t>
      </w:r>
    </w:p>
    <w:p>
      <w:pPr>
        <w:spacing w:line="380" w:lineRule="exact"/>
        <w:ind w:firstLine="482" w:firstLineChars="200"/>
        <w:jc w:val="left"/>
        <w:rPr>
          <w:rFonts w:ascii="宋体" w:hAnsi="宋体" w:eastAsia="宋体" w:cs="Times New Roman"/>
          <w:b/>
          <w:sz w:val="24"/>
          <w:szCs w:val="24"/>
        </w:rPr>
      </w:pPr>
    </w:p>
    <w:p>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投标人全称（加盖公章）：</w:t>
      </w:r>
      <w:r>
        <w:rPr>
          <w:rFonts w:hint="eastAsia" w:ascii="宋体" w:hAnsi="宋体" w:eastAsia="宋体" w:cs="Times New Roman"/>
          <w:sz w:val="24"/>
          <w:szCs w:val="24"/>
          <w:u w:val="single"/>
        </w:rPr>
        <w:t xml:space="preserve">           </w:t>
      </w:r>
    </w:p>
    <w:p>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 xml:space="preserve">日   期： </w:t>
      </w:r>
      <w:r>
        <w:rPr>
          <w:rFonts w:hint="eastAsia" w:ascii="宋体" w:hAnsi="宋体" w:eastAsia="宋体" w:cs="Times New Roman"/>
          <w:sz w:val="24"/>
          <w:szCs w:val="24"/>
          <w:u w:val="single"/>
        </w:rPr>
        <w:t xml:space="preserve">                        </w:t>
      </w:r>
    </w:p>
    <w:p>
      <w:pPr>
        <w:pStyle w:val="2"/>
        <w:jc w:val="center"/>
        <w:rPr>
          <w:rFonts w:hint="eastAsia" w:ascii="黑体" w:hAnsi="黑体" w:eastAsia="黑体" w:cs="宋体"/>
          <w:b/>
          <w:bCs/>
          <w:kern w:val="0"/>
          <w:sz w:val="28"/>
          <w:szCs w:val="18"/>
          <w:lang w:val="en-US" w:eastAsia="zh-CN"/>
        </w:rPr>
      </w:pPr>
      <w:bookmarkStart w:id="25" w:name="_Toc100307875"/>
      <w:r>
        <w:rPr>
          <w:rFonts w:hint="eastAsia" w:ascii="黑体" w:hAnsi="黑体" w:eastAsia="黑体" w:cs="宋体"/>
          <w:b/>
          <w:bCs/>
          <w:kern w:val="0"/>
          <w:sz w:val="28"/>
          <w:szCs w:val="18"/>
        </w:rPr>
        <w:br w:type="page"/>
      </w:r>
      <w:r>
        <w:rPr>
          <w:rFonts w:hint="eastAsia" w:ascii="黑体" w:hAnsi="黑体" w:eastAsia="黑体" w:cs="宋体"/>
          <w:b/>
          <w:bCs/>
          <w:kern w:val="0"/>
          <w:sz w:val="28"/>
          <w:szCs w:val="18"/>
        </w:rPr>
        <w:t>“★”号条款</w:t>
      </w:r>
      <w:r>
        <w:rPr>
          <w:rFonts w:hint="eastAsia" w:ascii="黑体" w:hAnsi="黑体" w:eastAsia="黑体" w:cs="宋体"/>
          <w:b/>
          <w:bCs/>
          <w:kern w:val="0"/>
          <w:sz w:val="28"/>
          <w:szCs w:val="18"/>
          <w:lang w:val="en-US" w:eastAsia="zh-CN"/>
        </w:rPr>
        <w:t>承诺函</w:t>
      </w:r>
    </w:p>
    <w:p>
      <w:pPr>
        <w:spacing w:line="360" w:lineRule="auto"/>
        <w:rPr>
          <w:rFonts w:ascii="宋体" w:hAnsi="宋体" w:eastAsia="宋体" w:cs="Times New Roman"/>
          <w:sz w:val="24"/>
          <w:szCs w:val="24"/>
          <w:u w:val="single"/>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Times New Roman"/>
          <w:sz w:val="24"/>
          <w:szCs w:val="24"/>
        </w:rPr>
        <w:t xml:space="preserve">     招标编号</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针对本项目我司承诺如下：</w:t>
      </w:r>
    </w:p>
    <w:p>
      <w:pPr>
        <w:pStyle w:val="2"/>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b w:val="0"/>
          <w:bCs w:val="0"/>
          <w:sz w:val="24"/>
          <w:szCs w:val="24"/>
          <w:lang w:val="en-US" w:eastAsia="zh-CN"/>
        </w:rPr>
      </w:pPr>
      <w:r>
        <w:rPr>
          <w:rFonts w:hint="default"/>
          <w:b w:val="0"/>
          <w:bCs w:val="0"/>
          <w:sz w:val="24"/>
          <w:szCs w:val="24"/>
          <w:lang w:val="en-US" w:eastAsia="zh-CN"/>
        </w:rPr>
        <w:t>质保期：不少于3年，自所有货物验收合格交付使用之日起计算，质保期内，设备发生任何质量问题，均由</w:t>
      </w:r>
      <w:r>
        <w:rPr>
          <w:rFonts w:hint="eastAsia"/>
          <w:b w:val="0"/>
          <w:bCs w:val="0"/>
          <w:sz w:val="24"/>
          <w:szCs w:val="24"/>
          <w:lang w:val="en-US" w:eastAsia="zh-CN"/>
        </w:rPr>
        <w:t>我司</w:t>
      </w:r>
      <w:r>
        <w:rPr>
          <w:rFonts w:hint="default"/>
          <w:b w:val="0"/>
          <w:bCs w:val="0"/>
          <w:sz w:val="24"/>
          <w:szCs w:val="24"/>
          <w:lang w:val="en-US" w:eastAsia="zh-CN"/>
        </w:rPr>
        <w:t>负责免费修复，失效零件予以免费更换，更换时所发生的商检、运输、清关等费用均由</w:t>
      </w:r>
      <w:r>
        <w:rPr>
          <w:rFonts w:hint="eastAsia"/>
          <w:b w:val="0"/>
          <w:bCs w:val="0"/>
          <w:sz w:val="24"/>
          <w:szCs w:val="24"/>
          <w:lang w:val="en-US" w:eastAsia="zh-CN"/>
        </w:rPr>
        <w:t>我司</w:t>
      </w:r>
      <w:r>
        <w:rPr>
          <w:rFonts w:hint="default"/>
          <w:b w:val="0"/>
          <w:bCs w:val="0"/>
          <w:sz w:val="24"/>
          <w:szCs w:val="24"/>
          <w:lang w:val="en-US" w:eastAsia="zh-CN"/>
        </w:rPr>
        <w:t>负责。</w:t>
      </w:r>
    </w:p>
    <w:p>
      <w:pPr>
        <w:rPr>
          <w:rFonts w:hint="default"/>
          <w:lang w:val="en-US" w:eastAsia="zh-CN"/>
        </w:rPr>
      </w:pPr>
    </w:p>
    <w:p>
      <w:pPr>
        <w:spacing w:line="360" w:lineRule="auto"/>
        <w:ind w:firstLine="4200" w:firstLineChars="1750"/>
        <w:rPr>
          <w:rFonts w:ascii="宋体" w:hAnsi="宋体" w:eastAsia="宋体" w:cs="Times New Roman"/>
          <w:sz w:val="24"/>
          <w:szCs w:val="24"/>
          <w:u w:val="single"/>
        </w:rPr>
      </w:pPr>
      <w:r>
        <w:rPr>
          <w:rFonts w:hint="eastAsia" w:ascii="宋体" w:hAnsi="宋体" w:eastAsia="宋体" w:cs="Times New Roman"/>
          <w:sz w:val="24"/>
          <w:szCs w:val="24"/>
        </w:rPr>
        <w:t>投标人全称（加盖公章）：</w:t>
      </w:r>
      <w:r>
        <w:rPr>
          <w:rFonts w:hint="eastAsia" w:ascii="宋体" w:hAnsi="宋体" w:eastAsia="宋体" w:cs="Times New Roman"/>
          <w:sz w:val="24"/>
          <w:szCs w:val="24"/>
          <w:u w:val="single"/>
        </w:rPr>
        <w:t xml:space="preserve">           </w:t>
      </w:r>
    </w:p>
    <w:p>
      <w:pPr>
        <w:spacing w:line="360" w:lineRule="auto"/>
        <w:ind w:firstLine="4200" w:firstLineChars="1750"/>
        <w:rPr>
          <w:rFonts w:hint="eastAsia" w:ascii="宋体" w:hAnsi="宋体" w:eastAsia="宋体" w:cs="Times New Roman"/>
          <w:sz w:val="24"/>
          <w:szCs w:val="24"/>
          <w:u w:val="single"/>
        </w:rPr>
      </w:pPr>
      <w:r>
        <w:rPr>
          <w:rFonts w:hint="eastAsia" w:ascii="宋体" w:hAnsi="宋体" w:eastAsia="宋体" w:cs="Times New Roman"/>
          <w:sz w:val="24"/>
          <w:szCs w:val="24"/>
        </w:rPr>
        <w:t xml:space="preserve">日   期： </w:t>
      </w:r>
      <w:r>
        <w:rPr>
          <w:rFonts w:hint="eastAsia" w:ascii="宋体" w:hAnsi="宋体" w:eastAsia="宋体" w:cs="Times New Roman"/>
          <w:sz w:val="24"/>
          <w:szCs w:val="24"/>
          <w:u w:val="single"/>
        </w:rPr>
        <w:t xml:space="preserve">                        </w:t>
      </w:r>
    </w:p>
    <w:p>
      <w:pPr>
        <w:widowControl/>
        <w:spacing w:line="360" w:lineRule="auto"/>
        <w:jc w:val="center"/>
        <w:rPr>
          <w:rFonts w:ascii="黑体" w:hAnsi="黑体" w:eastAsia="黑体" w:cs="宋体"/>
          <w:b/>
          <w:bCs/>
          <w:kern w:val="0"/>
          <w:sz w:val="28"/>
          <w:szCs w:val="18"/>
        </w:rPr>
      </w:pPr>
      <w:r>
        <w:rPr>
          <w:rFonts w:hint="eastAsia" w:ascii="黑体" w:hAnsi="黑体" w:eastAsia="黑体" w:cs="宋体"/>
          <w:b/>
          <w:bCs/>
          <w:kern w:val="0"/>
          <w:sz w:val="28"/>
          <w:szCs w:val="18"/>
        </w:rPr>
        <w:br w:type="page"/>
      </w:r>
      <w:r>
        <w:rPr>
          <w:rFonts w:hint="eastAsia" w:ascii="黑体" w:hAnsi="黑体" w:eastAsia="黑体" w:cs="宋体"/>
          <w:b/>
          <w:bCs/>
          <w:kern w:val="0"/>
          <w:sz w:val="28"/>
          <w:szCs w:val="18"/>
        </w:rPr>
        <w:t>（二）技术商务评分响应索引表</w:t>
      </w:r>
      <w:bookmarkEnd w:id="25"/>
    </w:p>
    <w:tbl>
      <w:tblPr>
        <w:tblStyle w:val="18"/>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134"/>
        <w:gridCol w:w="4732"/>
        <w:gridCol w:w="3022"/>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noWrap w:val="0"/>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序号</w:t>
            </w:r>
          </w:p>
        </w:tc>
        <w:tc>
          <w:tcPr>
            <w:tcW w:w="4732" w:type="dxa"/>
            <w:noWrap w:val="0"/>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评分标准要求</w:t>
            </w:r>
          </w:p>
        </w:tc>
        <w:tc>
          <w:tcPr>
            <w:tcW w:w="3022" w:type="dxa"/>
            <w:noWrap w:val="0"/>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noWrap w:val="0"/>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技术因素评分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noWrap w:val="0"/>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1-1</w:t>
            </w:r>
          </w:p>
        </w:tc>
        <w:tc>
          <w:tcPr>
            <w:tcW w:w="4732" w:type="dxa"/>
            <w:noWrap w:val="0"/>
            <w:vAlign w:val="center"/>
          </w:tcPr>
          <w:p>
            <w:pPr>
              <w:spacing w:beforeLines="50" w:afterLines="50"/>
              <w:jc w:val="center"/>
              <w:rPr>
                <w:rFonts w:ascii="宋体" w:hAnsi="宋体" w:eastAsia="黑体" w:cs="Times New Roman"/>
                <w:b/>
                <w:bCs/>
                <w:sz w:val="24"/>
                <w:szCs w:val="32"/>
              </w:rPr>
            </w:pPr>
          </w:p>
        </w:tc>
        <w:tc>
          <w:tcPr>
            <w:tcW w:w="3022" w:type="dxa"/>
            <w:noWrap w:val="0"/>
            <w:vAlign w:val="center"/>
          </w:tcPr>
          <w:p>
            <w:pPr>
              <w:spacing w:beforeLines="50" w:afterLines="50"/>
              <w:jc w:val="center"/>
              <w:rPr>
                <w:rFonts w:ascii="宋体" w:hAnsi="宋体" w:eastAsia="黑体" w:cs="Times New Roman"/>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noWrap w:val="0"/>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1-2</w:t>
            </w:r>
          </w:p>
        </w:tc>
        <w:tc>
          <w:tcPr>
            <w:tcW w:w="4732" w:type="dxa"/>
            <w:noWrap w:val="0"/>
            <w:vAlign w:val="center"/>
          </w:tcPr>
          <w:p>
            <w:pPr>
              <w:spacing w:beforeLines="50" w:afterLines="50"/>
              <w:jc w:val="center"/>
              <w:rPr>
                <w:rFonts w:ascii="宋体" w:hAnsi="宋体" w:eastAsia="黑体" w:cs="Times New Roman"/>
                <w:b/>
                <w:bCs/>
                <w:sz w:val="24"/>
                <w:szCs w:val="32"/>
              </w:rPr>
            </w:pPr>
          </w:p>
        </w:tc>
        <w:tc>
          <w:tcPr>
            <w:tcW w:w="3022" w:type="dxa"/>
            <w:noWrap w:val="0"/>
            <w:vAlign w:val="center"/>
          </w:tcPr>
          <w:p>
            <w:pPr>
              <w:spacing w:beforeLines="50" w:afterLines="50"/>
              <w:jc w:val="center"/>
              <w:rPr>
                <w:rFonts w:ascii="宋体" w:hAnsi="宋体" w:eastAsia="黑体" w:cs="Times New Roman"/>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noWrap w:val="0"/>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商务因素评分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noWrap w:val="0"/>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2-1</w:t>
            </w:r>
          </w:p>
        </w:tc>
        <w:tc>
          <w:tcPr>
            <w:tcW w:w="4732" w:type="dxa"/>
            <w:noWrap w:val="0"/>
            <w:vAlign w:val="center"/>
          </w:tcPr>
          <w:p>
            <w:pPr>
              <w:spacing w:beforeLines="50" w:afterLines="50"/>
              <w:jc w:val="center"/>
              <w:rPr>
                <w:rFonts w:ascii="宋体" w:hAnsi="宋体" w:eastAsia="黑体" w:cs="Times New Roman"/>
                <w:b/>
                <w:bCs/>
                <w:sz w:val="24"/>
                <w:szCs w:val="32"/>
              </w:rPr>
            </w:pPr>
          </w:p>
        </w:tc>
        <w:tc>
          <w:tcPr>
            <w:tcW w:w="3022" w:type="dxa"/>
            <w:noWrap w:val="0"/>
            <w:vAlign w:val="center"/>
          </w:tcPr>
          <w:p>
            <w:pPr>
              <w:spacing w:beforeLines="50" w:afterLines="50"/>
              <w:jc w:val="center"/>
              <w:rPr>
                <w:rFonts w:ascii="宋体" w:hAnsi="宋体" w:eastAsia="黑体" w:cs="Times New Roman"/>
                <w:b/>
                <w:bCs/>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noWrap w:val="0"/>
            <w:vAlign w:val="center"/>
          </w:tcPr>
          <w:p>
            <w:pPr>
              <w:spacing w:beforeLines="50" w:afterLines="50"/>
              <w:jc w:val="center"/>
              <w:rPr>
                <w:rFonts w:ascii="宋体" w:hAnsi="宋体" w:eastAsia="宋体" w:cs="Times New Roman"/>
                <w:bCs/>
                <w:sz w:val="24"/>
                <w:szCs w:val="32"/>
              </w:rPr>
            </w:pPr>
            <w:r>
              <w:rPr>
                <w:rFonts w:hint="eastAsia" w:ascii="宋体" w:hAnsi="宋体" w:eastAsia="宋体" w:cs="Times New Roman"/>
                <w:bCs/>
                <w:sz w:val="24"/>
                <w:szCs w:val="32"/>
              </w:rPr>
              <w:t>2-2</w:t>
            </w:r>
          </w:p>
        </w:tc>
        <w:tc>
          <w:tcPr>
            <w:tcW w:w="4732" w:type="dxa"/>
            <w:noWrap w:val="0"/>
            <w:vAlign w:val="center"/>
          </w:tcPr>
          <w:p>
            <w:pPr>
              <w:spacing w:beforeLines="50" w:afterLines="50"/>
              <w:jc w:val="center"/>
              <w:rPr>
                <w:rFonts w:ascii="宋体" w:hAnsi="宋体" w:eastAsia="黑体" w:cs="Times New Roman"/>
                <w:b/>
                <w:bCs/>
                <w:sz w:val="24"/>
                <w:szCs w:val="32"/>
              </w:rPr>
            </w:pPr>
          </w:p>
        </w:tc>
        <w:tc>
          <w:tcPr>
            <w:tcW w:w="3022" w:type="dxa"/>
            <w:noWrap w:val="0"/>
            <w:vAlign w:val="center"/>
          </w:tcPr>
          <w:p>
            <w:pPr>
              <w:spacing w:beforeLines="50" w:afterLines="50"/>
              <w:jc w:val="center"/>
              <w:rPr>
                <w:rFonts w:ascii="宋体" w:hAnsi="宋体" w:eastAsia="黑体" w:cs="Times New Roman"/>
                <w:b/>
                <w:bCs/>
                <w:sz w:val="24"/>
                <w:szCs w:val="32"/>
              </w:rPr>
            </w:pPr>
          </w:p>
        </w:tc>
      </w:tr>
    </w:tbl>
    <w:p>
      <w:pPr>
        <w:widowControl/>
        <w:spacing w:line="360" w:lineRule="auto"/>
        <w:jc w:val="left"/>
        <w:rPr>
          <w:rFonts w:ascii="宋体" w:hAnsi="宋体" w:cs="宋体"/>
          <w:bCs/>
          <w:kern w:val="0"/>
          <w:sz w:val="24"/>
          <w:szCs w:val="24"/>
        </w:rPr>
      </w:pPr>
    </w:p>
    <w:p>
      <w:pPr>
        <w:sectPr>
          <w:pgSz w:w="11906" w:h="16838"/>
          <w:pgMar w:top="1418" w:right="1418" w:bottom="1418" w:left="1418" w:header="851" w:footer="992" w:gutter="0"/>
          <w:cols w:space="720" w:num="1"/>
          <w:docGrid w:type="lines" w:linePitch="312" w:charSpace="0"/>
        </w:sectPr>
      </w:pPr>
    </w:p>
    <w:p>
      <w:pPr>
        <w:spacing w:beforeLines="50" w:afterLines="50"/>
        <w:jc w:val="center"/>
        <w:rPr>
          <w:rFonts w:ascii="黑体" w:hAnsi="黑体" w:eastAsia="黑体" w:cs="Times New Roman"/>
          <w:sz w:val="32"/>
          <w:szCs w:val="32"/>
        </w:rPr>
      </w:pPr>
      <w:r>
        <w:rPr>
          <w:rFonts w:ascii="黑体" w:hAnsi="黑体" w:eastAsia="黑体" w:cs="Times New Roman"/>
          <w:sz w:val="32"/>
          <w:szCs w:val="32"/>
        </w:rPr>
        <w:t>关于</w:t>
      </w:r>
      <w:r>
        <w:rPr>
          <w:rFonts w:hint="eastAsia" w:ascii="黑体" w:hAnsi="黑体" w:eastAsia="黑体" w:cs="Times New Roman"/>
          <w:sz w:val="32"/>
          <w:szCs w:val="32"/>
        </w:rPr>
        <w:t>串标情形及后果的告知函</w:t>
      </w:r>
    </w:p>
    <w:p>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根据《厦门市财政局关于加强涉嫌串通投标情形处理的通知》要求，现将有关串标情形及后果的规定列明如下，请各供应商仔细阅读，在参与本项目采购活动中，要遵纪守法，公平参与竞争，不得从事违法行为，否则将依法承担相应责任：</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一、串标情形</w:t>
      </w:r>
    </w:p>
    <w:p>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1、《政府采购法》第二十五条</w:t>
      </w:r>
      <w:r>
        <w:rPr>
          <w:rFonts w:hint="eastAsia" w:ascii="宋体" w:hAnsi="宋体" w:eastAsia="宋体" w:cs="Times New Roman"/>
          <w:sz w:val="24"/>
          <w:szCs w:val="28"/>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2、《政府采购法实施条例》第七十四条</w:t>
      </w:r>
      <w:r>
        <w:rPr>
          <w:rFonts w:hint="eastAsia" w:ascii="宋体" w:hAnsi="宋体" w:eastAsia="宋体" w:cs="Times New Roman"/>
          <w:sz w:val="24"/>
          <w:szCs w:val="28"/>
        </w:rPr>
        <w:t>：有下列情形之一的，属于恶意串通，对供应商依照政府采购法第七十七条第一款的规定追究法律责任，对采购人、采购代理机构及其工作人员依照政府采购法第七十二条的规定追究法律责任：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（一）供应商直接或者间接从采购人或者采购代理机构处获得其他供应商的相关情况并修改其投标文件或者响应文件；</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（二）供应商按照采购人或者采购代理机构的授意撤换、修改投标文件或者响应文件；</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（三）供应商之间协商报价、技术方案等投标文件或者响应文件的实质性内容；</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（四）属于同一集团、协会、商会等组织成员的供应商按照该组织要求协同参加政府采购活动；</w:t>
      </w:r>
    </w:p>
    <w:p>
      <w:pPr>
        <w:spacing w:line="360" w:lineRule="auto"/>
        <w:ind w:firstLine="480" w:firstLineChars="200"/>
        <w:rPr>
          <w:rFonts w:ascii="宋体" w:hAnsi="宋体" w:eastAsia="宋体" w:cs="Times New Roman"/>
          <w:sz w:val="24"/>
          <w:szCs w:val="28"/>
        </w:rPr>
      </w:pPr>
      <w:bookmarkStart w:id="26" w:name="_Toc100307870"/>
      <w:r>
        <w:rPr>
          <w:rFonts w:hint="eastAsia" w:ascii="宋体" w:hAnsi="宋体" w:eastAsia="宋体" w:cs="Times New Roman"/>
          <w:sz w:val="24"/>
          <w:szCs w:val="28"/>
        </w:rPr>
        <w:t>（五）供应商之间事先约定由某一特定供应商中标、成交；</w:t>
      </w:r>
      <w:bookmarkEnd w:id="26"/>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（六）供应商之间商定部分供应商放弃参加政府采购活动或者放弃中标、成交；</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（七）供应商与采购人或者采购代理机构之间、供应商相互之间，为谋求特定供应商中标、成交或者排斥其他供应商的其他串通行为。</w:t>
      </w:r>
    </w:p>
    <w:p>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3、《政府采购货物和服务招标投标管理办法》（财政部令第87号）第三十七条</w:t>
      </w:r>
      <w:r>
        <w:rPr>
          <w:rFonts w:hint="eastAsia" w:ascii="宋体" w:hAnsi="宋体" w:eastAsia="宋体" w:cs="Times New Roman"/>
          <w:sz w:val="24"/>
          <w:szCs w:val="28"/>
        </w:rPr>
        <w:t>：有下列情形之一的，视为投标人串通投标，其投标无效：</w:t>
      </w:r>
    </w:p>
    <w:p>
      <w:pPr>
        <w:spacing w:line="360" w:lineRule="auto"/>
        <w:ind w:firstLine="480" w:firstLineChars="200"/>
        <w:rPr>
          <w:rFonts w:ascii="宋体" w:hAnsi="宋体" w:eastAsia="宋体" w:cs="Times New Roman"/>
          <w:sz w:val="24"/>
          <w:szCs w:val="28"/>
        </w:rPr>
      </w:pPr>
      <w:bookmarkStart w:id="27" w:name="_Toc100307871"/>
      <w:r>
        <w:rPr>
          <w:rFonts w:hint="eastAsia" w:ascii="宋体" w:hAnsi="宋体" w:eastAsia="宋体" w:cs="Times New Roman"/>
          <w:sz w:val="24"/>
          <w:szCs w:val="28"/>
        </w:rPr>
        <w:t>（一）不同投标人的投标文件由同一单位或者个人编制；</w:t>
      </w:r>
      <w:bookmarkEnd w:id="27"/>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（二）不同投标人委托同一单位或者个人办理投标事宜；</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（三）不同投标人的投标文件载明的项目管理成员或者联系人员为同一人；</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（四）不同投标人的投标文件异常一致或者投标报价呈规律性差异；</w:t>
      </w:r>
    </w:p>
    <w:p>
      <w:pPr>
        <w:spacing w:line="360" w:lineRule="auto"/>
        <w:ind w:firstLine="480" w:firstLineChars="200"/>
        <w:rPr>
          <w:rFonts w:ascii="宋体" w:hAnsi="宋体" w:eastAsia="宋体" w:cs="Times New Roman"/>
          <w:sz w:val="24"/>
          <w:szCs w:val="28"/>
        </w:rPr>
      </w:pPr>
      <w:bookmarkStart w:id="28" w:name="_Toc100307872"/>
      <w:r>
        <w:rPr>
          <w:rFonts w:hint="eastAsia" w:ascii="宋体" w:hAnsi="宋体" w:eastAsia="宋体" w:cs="Times New Roman"/>
          <w:sz w:val="24"/>
          <w:szCs w:val="28"/>
        </w:rPr>
        <w:t>（五）不同投标人的投标文件相互混装；</w:t>
      </w:r>
      <w:bookmarkEnd w:id="28"/>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（六）不同投标人的投标保证金从同一单位或者个人的账户转出。</w:t>
      </w:r>
    </w:p>
    <w:p>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4、《福建省财政厅关于电子化政府采购项目中视为串标情形认定与处理的指导意见》（闽财购〔2018〕30号</w:t>
      </w:r>
      <w:r>
        <w:rPr>
          <w:rFonts w:ascii="宋体" w:hAnsi="宋体" w:eastAsia="宋体" w:cs="Times New Roman"/>
          <w:b/>
          <w:sz w:val="24"/>
          <w:szCs w:val="28"/>
        </w:rPr>
        <w:t>）</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一、电子化招标项目视为串通情形的认定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（一）保证金验核阶段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不同投标人的投标保证金转出账户的银行账户名称相同的，属于《政府采购货物和服务招标投标管理办法》（财政部令第87号）第三十七条第（六）项“不同投标人的投标保证金从同一单位或者个人的账户转出”的情形。 </w:t>
      </w:r>
    </w:p>
    <w:p>
      <w:pPr>
        <w:spacing w:line="360" w:lineRule="auto"/>
        <w:ind w:firstLine="480" w:firstLineChars="200"/>
        <w:rPr>
          <w:rFonts w:ascii="宋体" w:hAnsi="宋体" w:eastAsia="宋体" w:cs="Times New Roman"/>
          <w:sz w:val="24"/>
          <w:szCs w:val="28"/>
        </w:rPr>
      </w:pPr>
      <w:bookmarkStart w:id="29" w:name="_Toc100307873"/>
      <w:r>
        <w:rPr>
          <w:rFonts w:hint="eastAsia" w:ascii="宋体" w:hAnsi="宋体" w:eastAsia="宋体" w:cs="Times New Roman"/>
          <w:sz w:val="24"/>
          <w:szCs w:val="28"/>
        </w:rPr>
        <w:t>（二）电子响应文件解密阶段</w:t>
      </w:r>
      <w:bookmarkEnd w:id="29"/>
      <w:r>
        <w:rPr>
          <w:rFonts w:hint="eastAsia" w:ascii="宋体" w:hAnsi="宋体" w:eastAsia="宋体" w:cs="Times New Roman"/>
          <w:sz w:val="24"/>
          <w:szCs w:val="28"/>
        </w:rPr>
        <w:t xml:space="preserve">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电子响应文件的个性特征与本采购项目的其他响应人存在雷同的，按照以下方式进行认定：</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1.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2.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5、《福建省财政厅关于福建省省级政府采购货物和服务项目招标文件编制指引和实施指引的补充通知（三）》（闽财购〔2010〕28号）</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评标委员会在评标过程中发现投标人存在下列情形之一的，可认定其有串通投标行为，并做出其投标无效的决定：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（一）不同投标人的投标文件错、漏之处一致或雷同，且不能合理解释的；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（二）不同的投标人的法定代表人、委托代理人等由同一个单位缴纳社会保险的；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 xml:space="preserve">（三）由同一人或分别由几个有利害关系人携带两个以上（含两个）投标人的企业资料参与资格审查、领取招标资料，或代表两个以上（含两个）投标人参加招标答疑会、交纳或退还投标保证金、开标的； </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（四）有关法律、法规或规章规定的其他串通投标行为。</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二、后果</w:t>
      </w:r>
    </w:p>
    <w:p>
      <w:pPr>
        <w:spacing w:line="360" w:lineRule="auto"/>
        <w:ind w:firstLine="482" w:firstLineChars="200"/>
        <w:rPr>
          <w:rFonts w:ascii="宋体" w:hAnsi="宋体" w:eastAsia="宋体" w:cs="Times New Roman"/>
          <w:sz w:val="24"/>
          <w:szCs w:val="28"/>
        </w:rPr>
      </w:pPr>
      <w:r>
        <w:rPr>
          <w:rFonts w:hint="eastAsia" w:ascii="宋体" w:hAnsi="宋体" w:eastAsia="宋体" w:cs="Times New Roman"/>
          <w:b/>
          <w:sz w:val="24"/>
          <w:szCs w:val="28"/>
        </w:rPr>
        <w:t>1、《政府采购法》第七十七条</w:t>
      </w:r>
      <w:r>
        <w:rPr>
          <w:rFonts w:hint="eastAsia" w:ascii="宋体" w:hAnsi="宋体" w:eastAsia="宋体" w:cs="Times New Roman"/>
          <w:sz w:val="24"/>
          <w:szCs w:val="28"/>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eastAsia="宋体" w:cs="Times New Roman"/>
          <w:sz w:val="24"/>
          <w:szCs w:val="28"/>
        </w:rPr>
      </w:pPr>
      <w:bookmarkStart w:id="30" w:name="_Toc100307874"/>
      <w:r>
        <w:rPr>
          <w:rFonts w:hint="eastAsia" w:ascii="宋体" w:hAnsi="宋体" w:eastAsia="宋体" w:cs="Times New Roman"/>
          <w:sz w:val="24"/>
          <w:szCs w:val="28"/>
        </w:rPr>
        <w:t>（三）与采购人、其他供应商或者采购代理机构恶意串通的；</w:t>
      </w:r>
      <w:bookmarkEnd w:id="30"/>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供应商有前款第（一）至（五）项情形之一的，中标、成交无效。</w:t>
      </w:r>
    </w:p>
    <w:p>
      <w:pPr>
        <w:spacing w:line="360" w:lineRule="auto"/>
        <w:ind w:firstLine="482" w:firstLineChars="200"/>
        <w:rPr>
          <w:rFonts w:ascii="宋体" w:hAnsi="宋体" w:eastAsia="宋体" w:cs="Times New Roman"/>
          <w:b/>
          <w:sz w:val="24"/>
          <w:szCs w:val="28"/>
        </w:rPr>
      </w:pPr>
      <w:r>
        <w:rPr>
          <w:rFonts w:hint="eastAsia" w:ascii="宋体" w:hAnsi="宋体" w:eastAsia="宋体" w:cs="Times New Roman"/>
          <w:b/>
          <w:sz w:val="24"/>
          <w:szCs w:val="28"/>
        </w:rPr>
        <w:t>2、《福建省财政厅关于电子化政府采购项目中视为串标情形认定与处理的指导意见》（闽财购〔2018〕30号</w:t>
      </w:r>
      <w:r>
        <w:rPr>
          <w:rFonts w:ascii="宋体" w:hAnsi="宋体" w:eastAsia="宋体" w:cs="Times New Roman"/>
          <w:b/>
          <w:sz w:val="24"/>
          <w:szCs w:val="28"/>
        </w:rPr>
        <w:t>）</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三、虚假应标风险提示</w:t>
      </w:r>
    </w:p>
    <w:p>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pPr>
        <w:pStyle w:val="3"/>
        <w:spacing w:beforeLines="100" w:afterLines="100" w:line="240" w:lineRule="auto"/>
        <w:jc w:val="left"/>
        <w:rPr>
          <w:rFonts w:ascii="黑体" w:hAnsi="黑体" w:eastAsia="黑体" w:cs="Times New Roman"/>
          <w:kern w:val="0"/>
          <w:sz w:val="30"/>
        </w:rPr>
      </w:pPr>
      <w:bookmarkStart w:id="31" w:name="_Toc139103801"/>
      <w:r>
        <w:rPr>
          <w:rFonts w:ascii="黑体" w:hAnsi="黑体" w:eastAsia="黑体" w:cs="Times New Roman"/>
          <w:kern w:val="0"/>
          <w:sz w:val="30"/>
        </w:rPr>
        <w:t>四、其他事项</w:t>
      </w:r>
      <w:bookmarkEnd w:id="31"/>
    </w:p>
    <w:p>
      <w:pPr>
        <w:spacing w:line="360" w:lineRule="auto"/>
        <w:ind w:firstLine="480" w:firstLineChars="200"/>
        <w:rPr>
          <w:rFonts w:ascii="宋体" w:hAnsi="宋体"/>
          <w:sz w:val="24"/>
          <w:szCs w:val="28"/>
        </w:rPr>
      </w:pPr>
      <w:r>
        <w:rPr>
          <w:rFonts w:ascii="宋体" w:hAnsi="宋体"/>
          <w:sz w:val="24"/>
          <w:szCs w:val="28"/>
        </w:rPr>
        <w:t>1、除招标文件另有规定外，若出现有关法律、法规和规章有强制性规定但招标文件未列明的情形，则投标人应按照有关法律、法规和规章强制性规定执行。</w:t>
      </w:r>
    </w:p>
    <w:p>
      <w:pPr>
        <w:spacing w:line="360" w:lineRule="auto"/>
        <w:ind w:firstLine="480" w:firstLineChars="200"/>
        <w:rPr>
          <w:rFonts w:ascii="宋体" w:hAnsi="宋体"/>
          <w:sz w:val="24"/>
          <w:szCs w:val="28"/>
        </w:rPr>
      </w:pPr>
      <w:r>
        <w:rPr>
          <w:rFonts w:ascii="宋体" w:hAnsi="宋体"/>
          <w:sz w:val="24"/>
          <w:szCs w:val="28"/>
        </w:rPr>
        <w:t>2、其他：</w:t>
      </w:r>
    </w:p>
    <w:p>
      <w:pPr>
        <w:spacing w:line="360" w:lineRule="auto"/>
        <w:ind w:firstLine="480" w:firstLineChars="200"/>
        <w:rPr>
          <w:rFonts w:ascii="宋体" w:hAnsi="宋体"/>
          <w:sz w:val="24"/>
          <w:szCs w:val="28"/>
        </w:rPr>
      </w:pPr>
      <w:r>
        <w:rPr>
          <w:rFonts w:ascii="宋体" w:hAnsi="宋体"/>
          <w:sz w:val="24"/>
          <w:szCs w:val="28"/>
        </w:rPr>
        <w:t>详见其他商务要求中的“补充条款”。</w:t>
      </w:r>
    </w:p>
    <w:p>
      <w:pPr>
        <w:sectPr>
          <w:pgSz w:w="11906" w:h="16838"/>
          <w:pgMar w:top="1418" w:right="1418" w:bottom="1418" w:left="1418" w:header="851" w:footer="992" w:gutter="0"/>
          <w:cols w:space="720" w:num="1"/>
          <w:docGrid w:type="lines" w:linePitch="312" w:charSpace="0"/>
        </w:sectPr>
      </w:pPr>
    </w:p>
    <w:p>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32" w:name="_Toc139103802"/>
      <w:r>
        <w:rPr>
          <w:rFonts w:ascii="黑体" w:hAnsi="黑体" w:eastAsia="黑体" w:cs="Times New Roman"/>
          <w:kern w:val="0"/>
          <w:sz w:val="32"/>
          <w:szCs w:val="44"/>
        </w:rPr>
        <w:t>第六章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政府采购合同</w:t>
      </w:r>
      <w:bookmarkEnd w:id="32"/>
    </w:p>
    <w:p>
      <w:pPr>
        <w:pStyle w:val="55"/>
        <w:widowControl w:val="0"/>
        <w:jc w:val="center"/>
        <w:rPr>
          <w:rFonts w:hint="default"/>
        </w:rPr>
      </w:pPr>
      <w:r>
        <w:rPr>
          <w:b/>
          <w:sz w:val="28"/>
        </w:rPr>
        <w:t>参考文本</w:t>
      </w:r>
    </w:p>
    <w:p>
      <w:pPr>
        <w:spacing w:line="360" w:lineRule="auto"/>
        <w:jc w:val="left"/>
        <w:rPr>
          <w:rFonts w:ascii="宋体" w:hAnsi="宋体" w:eastAsia="宋体" w:cs="Times New Roman"/>
          <w:b/>
          <w:kern w:val="0"/>
          <w:sz w:val="24"/>
          <w:szCs w:val="24"/>
        </w:rPr>
      </w:pPr>
      <w:r>
        <w:rPr>
          <w:rFonts w:hint="eastAsia" w:ascii="宋体" w:hAnsi="宋体" w:eastAsia="宋体" w:cs="Times New Roman"/>
          <w:b/>
          <w:kern w:val="0"/>
          <w:sz w:val="24"/>
          <w:szCs w:val="24"/>
        </w:rPr>
        <w:t>合同编号：</w:t>
      </w:r>
    </w:p>
    <w:p>
      <w:pPr>
        <w:spacing w:line="360" w:lineRule="auto"/>
        <w:jc w:val="center"/>
        <w:rPr>
          <w:rFonts w:ascii="宋体" w:hAnsi="宋体" w:eastAsia="宋体" w:cs="Times New Roman"/>
          <w:b/>
          <w:kern w:val="0"/>
          <w:sz w:val="28"/>
          <w:szCs w:val="28"/>
        </w:rPr>
      </w:pPr>
      <w:r>
        <w:rPr>
          <w:rFonts w:hint="eastAsia" w:ascii="宋体" w:hAnsi="宋体" w:eastAsia="宋体" w:cs="Times New Roman"/>
          <w:b/>
          <w:kern w:val="0"/>
          <w:sz w:val="28"/>
          <w:szCs w:val="28"/>
        </w:rPr>
        <w:t>福建省政府采购合同（货物类）</w:t>
      </w:r>
    </w:p>
    <w:p>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编制说明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1.签订合同应遵守《中华人民共和国政府采购法》及其实施条例、《中华人民共和国民法典》等法律法规及其他有关规定。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2.签订合同时，采购人与中标（成交）人应结合采购文件规定填列相应内容。采购文件已有约定的，双方均不得对约定进行变更或调整；采购文件未作规定的，双方可通过友好协商进行约定。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3.政府有关主管部门对若干合同有规范文本的，可使用相应合同文本。</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4.本合同范本仅供参考，采购人应当根据采购项目的实际需求对合同条款进行修改、补充。</w:t>
      </w:r>
    </w:p>
    <w:p>
      <w:pPr>
        <w:shd w:val="clear" w:color="auto" w:fill="FFFFFF"/>
        <w:spacing w:line="360" w:lineRule="auto"/>
        <w:ind w:firstLine="480" w:firstLineChars="200"/>
        <w:rPr>
          <w:rFonts w:ascii="宋体" w:hAnsi="宋体" w:eastAsia="宋体" w:cs="宋体"/>
          <w:kern w:val="0"/>
          <w:sz w:val="24"/>
          <w:szCs w:val="24"/>
        </w:rPr>
      </w:pPr>
    </w:p>
    <w:p>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甲方：</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住所地：</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电子邮箱：</w:t>
      </w:r>
      <w:r>
        <w:rPr>
          <w:rFonts w:hint="eastAsia" w:ascii="宋体" w:hAnsi="宋体" w:eastAsia="宋体" w:cs="宋体"/>
          <w:kern w:val="0"/>
          <w:sz w:val="24"/>
          <w:szCs w:val="24"/>
          <w:u w:val="single"/>
        </w:rPr>
        <w:t xml:space="preserve">            </w:t>
      </w:r>
    </w:p>
    <w:p>
      <w:pPr>
        <w:spacing w:line="360" w:lineRule="auto"/>
        <w:ind w:firstLine="480" w:firstLineChars="200"/>
        <w:jc w:val="left"/>
        <w:rPr>
          <w:rFonts w:ascii="宋体" w:hAnsi="宋体" w:eastAsia="宋体" w:cs="宋体"/>
          <w:kern w:val="0"/>
          <w:sz w:val="24"/>
          <w:szCs w:val="24"/>
        </w:rPr>
      </w:pPr>
    </w:p>
    <w:p>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乙方：</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住所地：</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联系人：</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联系电话：</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传真：</w:t>
      </w:r>
      <w:r>
        <w:rPr>
          <w:rFonts w:hint="eastAsia" w:ascii="宋体" w:hAnsi="宋体" w:eastAsia="宋体" w:cs="宋体"/>
          <w:kern w:val="0"/>
          <w:sz w:val="24"/>
          <w:szCs w:val="24"/>
          <w:u w:val="single"/>
        </w:rPr>
        <w:t xml:space="preserve">                </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电子邮箱：</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根据项目编号为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项目（以下简称：“本项目”）的采购结果，遵循平等、自愿、公平和诚实信用的原则，双方签署本合同，具体内容如下：</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一、合同组成部分</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1.1本合同条款及附件；</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1.2采购文件及其附件、补充文件；</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1.3乙方的响应文件及其附件、补充文件；</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1.4其他文件或材料：</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二、合同标的</w:t>
      </w:r>
    </w:p>
    <w:p>
      <w:pPr>
        <w:shd w:val="clear" w:color="auto" w:fill="FFFFFF"/>
        <w:spacing w:line="360" w:lineRule="auto"/>
        <w:ind w:firstLine="480" w:firstLineChars="200"/>
        <w:rPr>
          <w:rFonts w:ascii="宋体" w:hAnsi="宋体" w:eastAsia="宋体" w:cs="宋体"/>
          <w:kern w:val="0"/>
          <w:sz w:val="24"/>
          <w:szCs w:val="24"/>
        </w:rPr>
      </w:pP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三、合同金额</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3.1合同总价：人民币（大写）</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3.2合同总价组成：</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3.3其他需说明事项：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四、合同标的交付</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4.1交付时间：</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4.2交付地点：</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4.3交付条件：</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4.4供货要求：</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若乙方提供的采购标的不符合国家知识产权法律、法规的规定或被有关主管机关认定为假冒伪劣品，则乙方中标或成交资格将被取消；甲方还将按照有关法律、法规和规章的规定进行处理，具体如下：</w:t>
      </w:r>
    </w:p>
    <w:p>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（4）其他供货要求：</w:t>
      </w:r>
      <w:r>
        <w:rPr>
          <w:rFonts w:hint="eastAsia" w:ascii="宋体" w:hAnsi="宋体" w:eastAsia="宋体" w:cs="宋体"/>
          <w:kern w:val="0"/>
          <w:sz w:val="24"/>
          <w:szCs w:val="24"/>
          <w:u w:val="single"/>
        </w:rPr>
        <w:t xml:space="preserve">                  </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五、质量标准及要求</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5.1质量标准及要求</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（2）其他质量要求</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5.2节能环保产品要求</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5.3质量保证范围、质量保证期及售后服务</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（1）质量保证范围：</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（2）本合同乙方所供应的货物质量保证期自验收合格之日起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（3）售后服务应按法律法规和采购文件约定执行，具体如下：</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5.4商品安全责任</w:t>
      </w:r>
    </w:p>
    <w:p>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商品安全责任应按照法律法规和采购文件的规定执行，具体如下：</w:t>
      </w:r>
      <w:r>
        <w:rPr>
          <w:rFonts w:hint="eastAsia" w:ascii="宋体" w:hAnsi="宋体" w:eastAsia="宋体" w:cs="宋体"/>
          <w:kern w:val="0"/>
          <w:sz w:val="24"/>
          <w:szCs w:val="24"/>
          <w:u w:val="single"/>
        </w:rPr>
        <w:t xml:space="preserve">         </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六、安装调试、验收及退、换货</w:t>
      </w:r>
    </w:p>
    <w:p>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6.1安装调试、验收应按照采购文件、乙方响应文件的规定或约定进行，具体如下：</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6.2本项目是否邀请其他投标人参与验收：</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□不邀请。  □邀请，具体如下：</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6.3本项目是否邀请专家参与验收：</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□不邀请。  □邀请，具体如下：</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6.4本项目是否邀请国家认可的质量检测机构参与验收：</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□不邀请。  □邀请，具体如下：</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6.5履约验收：</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6.6退、换货：</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rPr>
        <w:t>6.7其他：</w:t>
      </w:r>
      <w:r>
        <w:rPr>
          <w:rFonts w:hint="eastAsia" w:ascii="宋体" w:hAnsi="宋体" w:eastAsia="宋体" w:cs="宋体"/>
          <w:kern w:val="0"/>
          <w:sz w:val="24"/>
          <w:szCs w:val="24"/>
          <w:u w:val="single"/>
        </w:rPr>
        <w:t xml:space="preserve">                      </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七、资金支付方式、条件和时间</w:t>
      </w:r>
    </w:p>
    <w:p>
      <w:pPr>
        <w:spacing w:line="360" w:lineRule="auto"/>
        <w:ind w:firstLine="480" w:firstLineChars="200"/>
        <w:jc w:val="left"/>
        <w:rPr>
          <w:rFonts w:ascii="宋体" w:hAnsi="宋体" w:eastAsia="宋体" w:cs="宋体"/>
          <w:kern w:val="0"/>
          <w:sz w:val="24"/>
          <w:szCs w:val="24"/>
        </w:rPr>
      </w:pP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八、履约保证金</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□有，□无。具体如下违约：（按照采购文件规定填写）。</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8.1乙方向甲方缴纳人民币 元（大写： ）作为本合同的履约保证金。</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8.2履约保证金缴纳形式：支票/汇票/电汇/保函等非现金形式。</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8.3履约保证金退还： （根据实际情况填写） 。</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九、合同期限</w:t>
      </w:r>
    </w:p>
    <w:p>
      <w:pPr>
        <w:spacing w:line="360" w:lineRule="auto"/>
        <w:ind w:firstLine="480" w:firstLineChars="200"/>
        <w:jc w:val="left"/>
        <w:rPr>
          <w:rFonts w:ascii="宋体" w:hAnsi="宋体" w:eastAsia="宋体" w:cs="宋体"/>
          <w:kern w:val="0"/>
          <w:sz w:val="24"/>
          <w:szCs w:val="24"/>
        </w:rPr>
      </w:pP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十、违约责任</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10.1甲方违约责任</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（1）甲方无正当理由拒收乙方交付的合格产品的，甲方向乙方偿付拒收货款总值</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的违约金。</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甲方无故逾期验收和办理合同款项支付手续的,甲方应按逾期付款总额每日</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向乙方支付违约金。</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（3）其他违约情形</w:t>
      </w:r>
    </w:p>
    <w:p>
      <w:pPr>
        <w:shd w:val="clear" w:color="auto" w:fill="FFFFFF"/>
        <w:spacing w:line="360" w:lineRule="auto"/>
        <w:ind w:firstLine="480" w:firstLineChars="200"/>
        <w:rPr>
          <w:rFonts w:ascii="宋体" w:hAnsi="宋体" w:eastAsia="宋体" w:cs="宋体"/>
          <w:kern w:val="0"/>
          <w:sz w:val="24"/>
          <w:szCs w:val="24"/>
          <w:u w:val="single"/>
        </w:rPr>
      </w:pP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10.2乙方违约责任</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（1）乙方逾期履行服务的，乙方应按逾期交付总额每日</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向甲方支付违约金，由甲方从待付货款中扣除。乙方无正当理由逾期超过约定日期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仍不能交付的，视为“乙方不按合同约定履约”；</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（2）乙方所交付的产品不符合合同规定及《采购文件》规定标准的，甲方有权拒收，乙方愿意更换产品但逾期交货的，按乙方逾期交货处理。乙方拒绝更换产品的，视为“乙方不按合同约定履约”；</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（3）乙方不按合同约定履约的，甲方可以解除采购合同，并对乙方已缴纳的履约保证金作“不予退还”处理。同时，乙方还须按向甲方支付违约金：</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（4）其他违约情形</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十一、不可抗力事件处理</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十二、保密条款</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12.1对于在采购和合同履行过程中所获悉的属于保密的内容，甲、乙双方均负有保密义务。</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12.2其他</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十三、解决争议的方法</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13.1甲、乙双方协商解决。</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13.2若协商解决不成，则通过下列途径之一解决：</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□提交仲裁委员会仲裁，具体如下：</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□向人民法院提起诉讼，具体如下：</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十四、合同其他条款</w:t>
      </w:r>
    </w:p>
    <w:p>
      <w:pPr>
        <w:spacing w:line="360" w:lineRule="auto"/>
        <w:ind w:firstLine="480" w:firstLineChars="200"/>
        <w:jc w:val="left"/>
        <w:rPr>
          <w:rFonts w:ascii="宋体" w:hAnsi="宋体" w:eastAsia="宋体" w:cs="宋体"/>
          <w:kern w:val="0"/>
          <w:sz w:val="24"/>
          <w:szCs w:val="24"/>
        </w:rPr>
      </w:pP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十五、其他约定</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15.1合同文件与本合同具有同等法律效力。</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15.3本合同未尽事宜，遵照《中华人民共和国民法典》有关条文执行。</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15.4本合同正本一式</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份，具有同等法律效力，甲方、乙方各执</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份；副本</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份，</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15.5本合同已用于政府采购合同融资，为本项目提供合同融资的金融机构为：_______，甲乙双方应当按照融资合同的约定进行资金使用及款项支付。</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中标（成交）供应商应于采购合同签订之日起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内，向发放政采贷的金融机构提交政府采购中标（成交）通知书和政府采购合同，贷款金额以政府采购合同金额为限。</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15.6其他</w:t>
      </w:r>
    </w:p>
    <w:p>
      <w:pPr>
        <w:shd w:val="clear" w:color="auto" w:fill="FFFFFF"/>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十六、合同附件</w:t>
      </w:r>
    </w:p>
    <w:p>
      <w:pPr>
        <w:shd w:val="clear" w:color="auto" w:fill="FFFFFF"/>
        <w:spacing w:line="360" w:lineRule="auto"/>
        <w:ind w:firstLine="480" w:firstLineChars="200"/>
        <w:rPr>
          <w:rFonts w:ascii="宋体" w:hAnsi="宋体" w:eastAsia="宋体" w:cs="宋体"/>
          <w:kern w:val="0"/>
          <w:sz w:val="24"/>
          <w:szCs w:val="24"/>
        </w:rPr>
      </w:pP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甲方（采购人）：</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法定（授权）代表人：</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纳税人识别号：</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开户银行：</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账号：</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乙方（中标或成交人）：</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法定（授权）代表人：</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纳税人识别号：</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开户银行：</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账号：</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签订地点：</w:t>
      </w:r>
      <w:r>
        <w:rPr>
          <w:rFonts w:hint="eastAsia" w:ascii="宋体" w:hAnsi="宋体" w:eastAsia="宋体" w:cs="宋体"/>
          <w:kern w:val="0"/>
          <w:sz w:val="24"/>
          <w:szCs w:val="24"/>
          <w:u w:val="single"/>
        </w:rPr>
        <w:t xml:space="preserve">          </w:t>
      </w:r>
    </w:p>
    <w:p>
      <w:pPr>
        <w:shd w:val="clear" w:color="auto" w:fill="FFFFFF"/>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签订日期：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rPr>
          <w:rFonts w:ascii="Calibri" w:hAnsi="Calibri" w:eastAsia="宋体" w:cs="Times New Roman"/>
        </w:rPr>
        <w:sectPr>
          <w:pgSz w:w="11906" w:h="16838"/>
          <w:pgMar w:top="1418" w:right="1418" w:bottom="1418" w:left="1418" w:header="851" w:footer="992" w:gutter="0"/>
          <w:cols w:space="720" w:num="1"/>
          <w:docGrid w:type="lines" w:linePitch="312" w:charSpace="0"/>
        </w:sectPr>
      </w:pPr>
    </w:p>
    <w:p>
      <w:pPr>
        <w:pStyle w:val="2"/>
        <w:keepNext/>
        <w:keepLines/>
        <w:widowControl w:val="0"/>
        <w:spacing w:beforeLines="100" w:beforeAutospacing="0" w:afterLines="100" w:afterAutospacing="0"/>
        <w:jc w:val="center"/>
        <w:rPr>
          <w:rFonts w:ascii="黑体" w:hAnsi="黑体" w:eastAsia="黑体" w:cs="Times New Roman"/>
          <w:kern w:val="0"/>
          <w:sz w:val="32"/>
          <w:szCs w:val="44"/>
        </w:rPr>
      </w:pPr>
      <w:bookmarkStart w:id="33" w:name="_Toc139103803"/>
      <w:r>
        <w:rPr>
          <w:rFonts w:ascii="黑体" w:hAnsi="黑体" w:eastAsia="黑体" w:cs="Times New Roman"/>
          <w:kern w:val="0"/>
          <w:sz w:val="32"/>
          <w:szCs w:val="44"/>
        </w:rPr>
        <w:t>第七章</w:t>
      </w:r>
      <w:r>
        <w:rPr>
          <w:rFonts w:hint="eastAsia" w:ascii="黑体" w:hAnsi="黑体" w:eastAsia="黑体" w:cs="Times New Roman"/>
          <w:kern w:val="0"/>
          <w:sz w:val="32"/>
          <w:szCs w:val="44"/>
        </w:rPr>
        <w:t xml:space="preserve">  </w:t>
      </w:r>
      <w:r>
        <w:rPr>
          <w:rFonts w:ascii="黑体" w:hAnsi="黑体" w:eastAsia="黑体" w:cs="Times New Roman"/>
          <w:kern w:val="0"/>
          <w:sz w:val="32"/>
          <w:szCs w:val="44"/>
        </w:rPr>
        <w:t>电子投标文件格式</w:t>
      </w:r>
      <w:bookmarkEnd w:id="33"/>
    </w:p>
    <w:p>
      <w:pPr>
        <w:pStyle w:val="55"/>
        <w:widowControl w:val="0"/>
        <w:spacing w:line="360" w:lineRule="auto"/>
        <w:jc w:val="center"/>
        <w:rPr>
          <w:rFonts w:hint="default" w:ascii="宋体" w:hAnsi="宋体"/>
          <w:sz w:val="24"/>
          <w:szCs w:val="24"/>
        </w:rPr>
      </w:pPr>
      <w:r>
        <w:rPr>
          <w:rFonts w:ascii="宋体" w:hAnsi="宋体"/>
          <w:b/>
          <w:sz w:val="24"/>
          <w:szCs w:val="24"/>
        </w:rPr>
        <w:t>编制说明</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1、除招标文件另有规定外，本章中：</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1.1涉及投标人的“全称”：</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（1）不接受联合体投标的，指投标人的全称。</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（2）接受联合体投标且投标人为联合体的，指牵头方的全称并加注（联合体牵头方），即应表述为：“牵头方的全称（联合体牵头方）”。</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1.2涉及投标人“加盖单位公章”：</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（1）不接受联合体投标的，指加盖投标人的单位公章。</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（2）接受联合体投标且投标人为联合体的，指加盖联合体牵头方的单位公章。</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1.3涉及“投标人代表签字”：</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（1）不接受联合体投标的，指由投标人的单位负责人或其授权的委托代理人签字，由委托代理人签字的，应提供“单位授权书”。</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（2）接受联合体投标且投标人为联合体的，指由联合体牵头方的单位负责人或其授权的委托代理人签字，由委托代理人签字的，应提供“单位授权书”。</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1.4“其他组织”指合伙企业、非企业专业服务机构、个体工商户、农村承包经营户等。</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1.5“自然人”指具有完全民事行为能力、能够承担民事责任和义务的中国公民。</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2、除招标文件另有规定外，本章中“投标人的资格及资信证明文件”：</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2.1投标人应按照招标文件第四章第1.3条第（2）款规定及本章规定进行编制，如有必要，可增加附页，附页作为资格及资信文件的组成部分。</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2.2接受联合体投标且投标人为联合体的，联合体中的各方均应按照本章第2.1条规定提交相应的全部资料。</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3、投标人对电子投标文件的索引应编制页码。</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4、本章提供格式仅供参考，投标人应根据自身实际情况制作电子投标文件。</w:t>
      </w:r>
    </w:p>
    <w:p>
      <w:pPr>
        <w:pStyle w:val="55"/>
        <w:widowControl w:val="0"/>
        <w:rPr>
          <w:rFonts w:hint="default"/>
        </w:rPr>
      </w:pPr>
    </w:p>
    <w:p>
      <w:pPr>
        <w:pStyle w:val="55"/>
        <w:widowControl w:val="0"/>
        <w:rPr>
          <w:rFonts w:hint="default"/>
        </w:rPr>
        <w:sectPr>
          <w:pgSz w:w="11906" w:h="16838"/>
          <w:pgMar w:top="1418" w:right="1418" w:bottom="1418" w:left="1418" w:header="851" w:footer="992" w:gutter="0"/>
          <w:cols w:space="720" w:num="1"/>
          <w:docGrid w:type="lines" w:linePitch="312" w:charSpace="0"/>
        </w:sectPr>
      </w:pPr>
      <w:r>
        <w:t xml:space="preserve"> </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封面格式（资格及资信证明部分）</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福建省政府采购投标文件</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（资格及资信证明部分）</w:t>
      </w:r>
    </w:p>
    <w:p>
      <w:pPr>
        <w:pStyle w:val="55"/>
        <w:widowControl w:val="0"/>
        <w:spacing w:line="360" w:lineRule="auto"/>
        <w:ind w:firstLine="640" w:firstLineChars="200"/>
        <w:jc w:val="center"/>
        <w:rPr>
          <w:rFonts w:hint="default" w:ascii="宋体" w:hAnsi="宋体"/>
          <w:sz w:val="32"/>
          <w:szCs w:val="32"/>
        </w:rPr>
      </w:pP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（填写正本或副本）</w:t>
      </w:r>
    </w:p>
    <w:p>
      <w:pPr>
        <w:pStyle w:val="55"/>
        <w:widowControl w:val="0"/>
        <w:spacing w:line="360" w:lineRule="auto"/>
        <w:ind w:firstLine="640" w:firstLineChars="200"/>
        <w:jc w:val="center"/>
        <w:rPr>
          <w:rFonts w:hint="default" w:ascii="宋体" w:hAnsi="宋体"/>
          <w:sz w:val="32"/>
          <w:szCs w:val="32"/>
        </w:rPr>
      </w:pP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（项目名称：（由投标人填写）</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（备案编号：（由投标人填写）</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（项目编号：（由投标人填写）</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（所投采购包：（由投标人填写）</w:t>
      </w:r>
    </w:p>
    <w:p>
      <w:pPr>
        <w:pStyle w:val="55"/>
        <w:widowControl w:val="0"/>
        <w:spacing w:line="360" w:lineRule="auto"/>
        <w:ind w:firstLine="640" w:firstLineChars="200"/>
        <w:jc w:val="center"/>
        <w:rPr>
          <w:rFonts w:hint="default" w:ascii="宋体" w:hAnsi="宋体"/>
          <w:sz w:val="32"/>
          <w:szCs w:val="32"/>
        </w:rPr>
      </w:pP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投标人：（填写“全称”）</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（由投标人填写）年（由投标人填写）月</w:t>
      </w:r>
    </w:p>
    <w:p>
      <w:pPr>
        <w:pStyle w:val="55"/>
        <w:widowControl w:val="0"/>
        <w:spacing w:line="360" w:lineRule="auto"/>
        <w:ind w:firstLine="480" w:firstLineChars="200"/>
        <w:rPr>
          <w:rFonts w:hint="default" w:ascii="宋体" w:hAnsi="宋体"/>
          <w:sz w:val="24"/>
          <w:szCs w:val="24"/>
        </w:rPr>
      </w:pP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jc w:val="center"/>
        <w:rPr>
          <w:rFonts w:hint="default" w:ascii="宋体" w:hAnsi="宋体"/>
          <w:sz w:val="28"/>
          <w:szCs w:val="24"/>
        </w:rPr>
      </w:pPr>
      <w:r>
        <w:rPr>
          <w:rFonts w:ascii="宋体" w:hAnsi="宋体"/>
          <w:b/>
          <w:sz w:val="28"/>
          <w:szCs w:val="24"/>
        </w:rPr>
        <w:t>索引</w:t>
      </w:r>
    </w:p>
    <w:p>
      <w:pPr>
        <w:pStyle w:val="55"/>
        <w:widowControl w:val="0"/>
        <w:spacing w:line="360" w:lineRule="auto"/>
        <w:ind w:firstLine="480" w:firstLineChars="200"/>
        <w:rPr>
          <w:rFonts w:hint="default" w:ascii="宋体" w:hAnsi="宋体"/>
          <w:sz w:val="24"/>
          <w:szCs w:val="24"/>
        </w:rPr>
      </w:pPr>
    </w:p>
    <w:p>
      <w:pPr>
        <w:pStyle w:val="55"/>
        <w:widowControl w:val="0"/>
        <w:spacing w:line="360" w:lineRule="auto"/>
        <w:ind w:firstLine="480" w:firstLineChars="200"/>
        <w:rPr>
          <w:rFonts w:hint="default" w:ascii="宋体" w:hAnsi="宋体"/>
          <w:sz w:val="24"/>
          <w:szCs w:val="24"/>
        </w:rPr>
      </w:pPr>
      <w:r>
        <w:rPr>
          <w:rFonts w:ascii="宋体" w:hAnsi="宋体"/>
          <w:sz w:val="24"/>
          <w:szCs w:val="24"/>
        </w:rPr>
        <w:t>一、投标函</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二、投标人的资格及资信证明文件</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三、投标保证金</w:t>
      </w:r>
    </w:p>
    <w:p>
      <w:pPr>
        <w:pStyle w:val="55"/>
        <w:widowControl w:val="0"/>
        <w:spacing w:line="360" w:lineRule="auto"/>
        <w:ind w:firstLine="480" w:firstLineChars="200"/>
        <w:rPr>
          <w:rFonts w:hint="default" w:ascii="宋体" w:hAnsi="宋体"/>
          <w:sz w:val="24"/>
          <w:szCs w:val="24"/>
        </w:rPr>
      </w:pPr>
    </w:p>
    <w:p>
      <w:pPr>
        <w:pStyle w:val="55"/>
        <w:widowControl w:val="0"/>
        <w:spacing w:line="360" w:lineRule="auto"/>
        <w:jc w:val="center"/>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资格及资信证明部分中不得出现报价部分的全部或部分的投标报价信息（或组成资料），否则资格审查不合格。（联合体协议及分包意向协议中的比例规定，不适用本条款）</w:t>
      </w:r>
    </w:p>
    <w:p>
      <w:pPr>
        <w:pStyle w:val="55"/>
        <w:widowControl w:val="0"/>
        <w:spacing w:line="360" w:lineRule="auto"/>
        <w:ind w:firstLine="480" w:firstLineChars="200"/>
        <w:rPr>
          <w:rFonts w:hint="default" w:ascii="宋体" w:hAnsi="宋体"/>
          <w:sz w:val="24"/>
          <w:szCs w:val="24"/>
        </w:rPr>
      </w:pP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一、投标函</w:t>
      </w:r>
    </w:p>
    <w:p>
      <w:pPr>
        <w:pStyle w:val="55"/>
        <w:widowControl w:val="0"/>
        <w:spacing w:line="360" w:lineRule="auto"/>
        <w:rPr>
          <w:rFonts w:hint="default" w:ascii="宋体" w:hAnsi="宋体"/>
          <w:sz w:val="24"/>
          <w:szCs w:val="24"/>
        </w:rPr>
      </w:pPr>
      <w:r>
        <w:rPr>
          <w:rFonts w:ascii="宋体" w:hAnsi="宋体"/>
          <w:sz w:val="24"/>
          <w:szCs w:val="24"/>
        </w:rPr>
        <w:t>致：（采购人或采购代理机构）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兹收到贵单位关于（填写“项目名称”）项目（项目编号：　　　　　）的投标邀请，本投标人代表（填写“全名”）已获得我方正式授权并代表投标人（填写“全称”）参加投标，并提交电子投标文件。我方提交的全部电子投标文件由下述部分组成：</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（1）资格及资信证明部分</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①投标函</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②投标人的资格及资信证明文件</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③投标保证金</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（2）报价部分</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①开标一览表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②投标分项报价表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③招标文件规定的价格扣除证明材料（若有）</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④招标文件规定的加分证明材料（若有）</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（3）技术商务部分</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①标的说明一览表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②技术和服务要求响应表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③商务条件响应表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④投标人提交的其他资料（若有）</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根据本函，本投标人代表宣布我方保证遵守招标文件的全部规定，同时：</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1、确认：</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1.1所投采购包的投标报价详见“开标一览表”及“投标分项报价表”。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1.2我方已详细审查全部招标文件[包括但不限于：有关附件（若有）、澄清或修改（若有）等]，并自行承担因对全部招标文件理解不正确或误解而产生的相应后果和责任。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2、承诺及声明：</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2.1我方具备招标文件第一章载明的“投标人的资格要求”且符合招标文件第三章载明的“二、投标人”之规定，否则投标无效。</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2.2我方提交的电子投标文件各组成部分的全部内容及资料是不可割离且真实、有效、准确、完整和不具有任何误导性的，否则产生不利后果由我方承担责任。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2.3我方提供的标的价格不高于同期市场价格，否则产生不利后果由我方承担责任。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2.4投标保证金：若出现招标文件第三章规定的不予退还情形，同意贵单位不予退还。</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2.5投标有效期：按照招标文件第三章规定执行，并在招标文件第二章载明的期限内保持有效。</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2.6若中标，将按照招标文件、我方电子投标文件及政府采购合同履行责任和义务。</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2.7若贵单位要求，我方同意提供与本项目投标有关的一切资料、数据或文件，并完全理解贵单位不一定要接受最低的投标报价或收到的任何投标。</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2.8我方承诺电子投标文件所提供的全部资料真实可靠，并接受评标委员会、采购人、采购代理机构、监管部门进一步审查其中任何资料真实性的要求。</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2.9除招标文件另有规定外，对于贵单位按照下述联络方式发出的任何信息或通知，均视为我方已收悉前述信息或通知的全部内容：</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xml:space="preserve">通信地址：             </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 xml:space="preserve">                          </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xml:space="preserve">邮编：             </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 xml:space="preserve">                             </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联系方法：（包括但不限于：联系人、联系电话、手机、传真、电子邮箱等）</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投标人：（全称并加盖单位公章）</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日期：    年   月   日</w:t>
      </w:r>
    </w:p>
    <w:p>
      <w:pPr>
        <w:pStyle w:val="55"/>
        <w:widowControl w:val="0"/>
        <w:spacing w:line="360" w:lineRule="auto"/>
        <w:ind w:firstLine="480" w:firstLineChars="200"/>
        <w:rPr>
          <w:rFonts w:hint="default" w:ascii="宋体" w:hAnsi="宋体"/>
          <w:sz w:val="24"/>
          <w:szCs w:val="24"/>
        </w:rPr>
      </w:pPr>
    </w:p>
    <w:p>
      <w:pPr>
        <w:pStyle w:val="55"/>
        <w:widowControl w:val="0"/>
        <w:spacing w:line="360" w:lineRule="auto"/>
        <w:ind w:firstLine="480" w:firstLineChars="200"/>
        <w:rPr>
          <w:rFonts w:hint="default" w:ascii="宋体" w:hAnsi="宋体"/>
          <w:sz w:val="24"/>
          <w:szCs w:val="24"/>
        </w:rPr>
        <w:sectPr>
          <w:footerReference r:id="rId7" w:type="first"/>
          <w:footerReference r:id="rId6" w:type="default"/>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二、投标人的资格及资信证明文件</w:t>
      </w:r>
    </w:p>
    <w:p>
      <w:pPr>
        <w:pStyle w:val="55"/>
        <w:widowControl w:val="0"/>
        <w:spacing w:line="360" w:lineRule="auto"/>
        <w:jc w:val="center"/>
        <w:rPr>
          <w:rFonts w:hint="default" w:ascii="宋体" w:hAnsi="宋体"/>
          <w:sz w:val="24"/>
          <w:szCs w:val="24"/>
        </w:rPr>
      </w:pPr>
      <w:r>
        <w:rPr>
          <w:rFonts w:ascii="宋体" w:hAnsi="宋体"/>
          <w:b/>
          <w:sz w:val="24"/>
          <w:szCs w:val="24"/>
        </w:rPr>
        <w:t>二-1单位授权书（若有）</w:t>
      </w:r>
    </w:p>
    <w:p>
      <w:pPr>
        <w:pStyle w:val="55"/>
        <w:widowControl w:val="0"/>
        <w:spacing w:line="360" w:lineRule="auto"/>
        <w:rPr>
          <w:rFonts w:hint="default" w:ascii="宋体" w:hAnsi="宋体"/>
          <w:sz w:val="24"/>
          <w:szCs w:val="24"/>
        </w:rPr>
      </w:pPr>
      <w:r>
        <w:rPr>
          <w:rFonts w:ascii="宋体" w:hAnsi="宋体"/>
          <w:sz w:val="24"/>
          <w:szCs w:val="24"/>
        </w:rPr>
        <w:t>致：</w:t>
      </w:r>
      <w:r>
        <w:rPr>
          <w:rFonts w:ascii="宋体" w:hAnsi="宋体"/>
          <w:sz w:val="24"/>
          <w:szCs w:val="24"/>
          <w:u w:val="single"/>
        </w:rPr>
        <w:t>（采购人或采购代理机构）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我方的单位负责人</w:t>
      </w:r>
      <w:r>
        <w:rPr>
          <w:rFonts w:ascii="宋体" w:hAnsi="宋体"/>
          <w:sz w:val="24"/>
          <w:szCs w:val="24"/>
          <w:u w:val="single"/>
        </w:rPr>
        <w:t>（填写“单位负责人全名”）</w:t>
      </w:r>
      <w:r>
        <w:rPr>
          <w:rFonts w:ascii="宋体" w:hAnsi="宋体"/>
          <w:sz w:val="24"/>
          <w:szCs w:val="24"/>
        </w:rPr>
        <w:t>授权</w:t>
      </w:r>
      <w:r>
        <w:rPr>
          <w:rFonts w:ascii="宋体" w:hAnsi="宋体"/>
          <w:sz w:val="24"/>
          <w:szCs w:val="24"/>
          <w:u w:val="single"/>
        </w:rPr>
        <w:t>（填写“投标人代表全名”）</w:t>
      </w:r>
      <w:r>
        <w:rPr>
          <w:rFonts w:ascii="宋体" w:hAnsi="宋体"/>
          <w:sz w:val="24"/>
          <w:szCs w:val="24"/>
        </w:rPr>
        <w:t>为投标人代表，代表我方参加</w:t>
      </w:r>
      <w:r>
        <w:rPr>
          <w:rFonts w:ascii="宋体" w:hAnsi="宋体"/>
          <w:sz w:val="24"/>
          <w:szCs w:val="24"/>
          <w:u w:val="single"/>
        </w:rPr>
        <w:t>（填写“项目名称”）</w:t>
      </w:r>
      <w:r>
        <w:rPr>
          <w:rFonts w:ascii="宋体" w:hAnsi="宋体"/>
          <w:sz w:val="24"/>
          <w:szCs w:val="24"/>
        </w:rPr>
        <w:t>项目（项目编号：</w:t>
      </w:r>
      <w:r>
        <w:rPr>
          <w:rFonts w:ascii="宋体" w:hAnsi="宋体"/>
          <w:sz w:val="24"/>
          <w:szCs w:val="24"/>
          <w:u w:val="single"/>
        </w:rPr>
        <w:t>　　　　　</w:t>
      </w:r>
      <w:r>
        <w:rPr>
          <w:rFonts w:ascii="宋体" w:hAnsi="宋体"/>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投标人代表无转委权。特此授权。</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（以下无正文）</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单位负责人：</w:t>
      </w:r>
      <w:r>
        <w:rPr>
          <w:rFonts w:ascii="宋体" w:hAnsi="宋体"/>
          <w:sz w:val="24"/>
          <w:szCs w:val="24"/>
          <w:u w:val="single"/>
        </w:rPr>
        <w:t>　　　　　</w:t>
      </w:r>
      <w:r>
        <w:rPr>
          <w:rFonts w:ascii="宋体" w:hAnsi="宋体"/>
          <w:sz w:val="24"/>
          <w:szCs w:val="24"/>
        </w:rPr>
        <w:t>身份证号：</w:t>
      </w:r>
      <w:r>
        <w:rPr>
          <w:rFonts w:ascii="宋体" w:hAnsi="宋体"/>
          <w:sz w:val="24"/>
          <w:szCs w:val="24"/>
          <w:u w:val="single"/>
        </w:rPr>
        <w:t>　　　　　</w:t>
      </w:r>
      <w:r>
        <w:rPr>
          <w:rFonts w:ascii="宋体" w:hAnsi="宋体"/>
          <w:sz w:val="24"/>
          <w:szCs w:val="24"/>
        </w:rPr>
        <w:t>手机：</w:t>
      </w:r>
      <w:r>
        <w:rPr>
          <w:rFonts w:ascii="宋体" w:hAnsi="宋体"/>
          <w:sz w:val="24"/>
          <w:szCs w:val="24"/>
          <w:u w:val="single"/>
        </w:rPr>
        <w:t>　　　　　</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投标人代表：</w:t>
      </w:r>
      <w:r>
        <w:rPr>
          <w:rFonts w:ascii="宋体" w:hAnsi="宋体"/>
          <w:sz w:val="24"/>
          <w:szCs w:val="24"/>
          <w:u w:val="single"/>
        </w:rPr>
        <w:t>　　　　　</w:t>
      </w:r>
      <w:r>
        <w:rPr>
          <w:rFonts w:ascii="宋体" w:hAnsi="宋体"/>
          <w:sz w:val="24"/>
          <w:szCs w:val="24"/>
        </w:rPr>
        <w:t>身份证号：</w:t>
      </w:r>
      <w:r>
        <w:rPr>
          <w:rFonts w:ascii="宋体" w:hAnsi="宋体"/>
          <w:sz w:val="24"/>
          <w:szCs w:val="24"/>
          <w:u w:val="single"/>
        </w:rPr>
        <w:t>　　　　　</w:t>
      </w:r>
      <w:r>
        <w:rPr>
          <w:rFonts w:ascii="宋体" w:hAnsi="宋体"/>
          <w:sz w:val="24"/>
          <w:szCs w:val="24"/>
        </w:rPr>
        <w:t>手机：</w:t>
      </w:r>
      <w:r>
        <w:rPr>
          <w:rFonts w:ascii="宋体" w:hAnsi="宋体"/>
          <w:sz w:val="24"/>
          <w:szCs w:val="24"/>
          <w:u w:val="single"/>
        </w:rPr>
        <w:t>　　　　　</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授权方</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投标人：</w:t>
      </w:r>
      <w:r>
        <w:rPr>
          <w:rFonts w:ascii="宋体" w:hAnsi="宋体"/>
          <w:sz w:val="24"/>
          <w:szCs w:val="24"/>
          <w:u w:val="single"/>
        </w:rPr>
        <w:t>（全称并加盖单位公章）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签署日期： 年 月 日</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附：单位负责人、投标人代表的身份证正反面复印件</w:t>
      </w:r>
    </w:p>
    <w:p>
      <w:pPr>
        <w:pStyle w:val="55"/>
        <w:widowControl w:val="0"/>
        <w:pBdr>
          <w:top w:val="dashed" w:color="000000" w:sz="4" w:space="0"/>
          <w:left w:val="dashed" w:color="000000" w:sz="4" w:space="0"/>
          <w:bottom w:val="dashed" w:color="000000" w:sz="4" w:space="0"/>
          <w:right w:val="dashed" w:color="000000" w:sz="4" w:space="0"/>
        </w:pBdr>
        <w:spacing w:line="360" w:lineRule="auto"/>
        <w:ind w:firstLine="480" w:firstLineChars="200"/>
        <w:jc w:val="center"/>
        <w:rPr>
          <w:rFonts w:hint="default" w:ascii="宋体" w:hAnsi="宋体"/>
          <w:sz w:val="24"/>
          <w:szCs w:val="24"/>
        </w:rPr>
      </w:pPr>
    </w:p>
    <w:p>
      <w:pPr>
        <w:pStyle w:val="55"/>
        <w:widowControl w:val="0"/>
        <w:spacing w:line="360" w:lineRule="auto"/>
        <w:ind w:firstLine="480" w:firstLineChars="200"/>
        <w:rPr>
          <w:rFonts w:hint="default" w:ascii="宋体" w:hAnsi="宋体"/>
          <w:sz w:val="24"/>
          <w:szCs w:val="24"/>
        </w:rPr>
      </w:pPr>
      <w:r>
        <w:rPr>
          <w:rFonts w:ascii="宋体" w:hAnsi="宋体"/>
          <w:sz w:val="24"/>
          <w:szCs w:val="24"/>
        </w:rPr>
        <w:t>要求：真实有效且内容完整、清晰、整洁。</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1、企业（银行、保险、石油石化、电力、电信等行业除外）、事业单位和社会团体法人的“单位负责人”指法定代表人，即与实际提交的“营业执照等证明文件”载明的一致。</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3、投标人（自然人除外）：若投标人代表为单位授权的委托代理人，应提供本授权书；若投标人代表为单位负责人，应在此项下提交其身份证正反面复印件，可不提供本授权书。</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4、投标人为自然人的，可不填写本授权书。</w:t>
      </w:r>
    </w:p>
    <w:p>
      <w:pPr>
        <w:pStyle w:val="55"/>
        <w:widowControl w:val="0"/>
        <w:spacing w:line="360" w:lineRule="auto"/>
        <w:jc w:val="center"/>
        <w:rPr>
          <w:rFonts w:hint="default" w:ascii="宋体" w:hAnsi="宋体"/>
          <w:sz w:val="24"/>
          <w:szCs w:val="24"/>
        </w:rPr>
      </w:pPr>
      <w:r>
        <w:rPr>
          <w:rFonts w:ascii="宋体" w:hAnsi="宋体"/>
          <w:b/>
          <w:sz w:val="24"/>
          <w:szCs w:val="24"/>
        </w:rPr>
        <w:t>二-2营业执照等证明文件</w:t>
      </w:r>
    </w:p>
    <w:p>
      <w:pPr>
        <w:pStyle w:val="55"/>
        <w:widowControl w:val="0"/>
        <w:spacing w:line="360" w:lineRule="auto"/>
        <w:rPr>
          <w:rFonts w:hint="default" w:ascii="宋体" w:hAnsi="宋体"/>
          <w:sz w:val="24"/>
          <w:szCs w:val="24"/>
        </w:rPr>
      </w:pPr>
      <w:r>
        <w:rPr>
          <w:rFonts w:ascii="宋体" w:hAnsi="宋体"/>
          <w:sz w:val="24"/>
          <w:szCs w:val="24"/>
        </w:rPr>
        <w:t>致：</w:t>
      </w:r>
      <w:r>
        <w:rPr>
          <w:rFonts w:ascii="宋体" w:hAnsi="宋体"/>
          <w:sz w:val="24"/>
          <w:szCs w:val="24"/>
          <w:u w:val="single"/>
        </w:rPr>
        <w:t>（采购人或采购代理机构）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）投标人为法人（包括企业、事业单位和社会团体）的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现附上由</w:t>
      </w:r>
      <w:r>
        <w:rPr>
          <w:rFonts w:ascii="宋体" w:hAnsi="宋体"/>
          <w:sz w:val="24"/>
          <w:szCs w:val="24"/>
          <w:u w:val="single"/>
        </w:rPr>
        <w:t>（（填写“签发机关全称”）</w:t>
      </w:r>
      <w:r>
        <w:rPr>
          <w:rFonts w:ascii="宋体" w:hAnsi="宋体"/>
          <w:sz w:val="24"/>
          <w:szCs w:val="24"/>
        </w:rPr>
        <w:t>签发的我方统一社会信用代码（请填写法人的具体证照名称）复印件，该证明材料真实有效，否则我方负全部责任。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）投标人为非法人（包括其他组织、自然人）的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□现附上由</w:t>
      </w:r>
      <w:r>
        <w:rPr>
          <w:rFonts w:ascii="宋体" w:hAnsi="宋体"/>
          <w:sz w:val="24"/>
          <w:szCs w:val="24"/>
          <w:u w:val="single"/>
        </w:rPr>
        <w:t>（（填写“签发机关全称”）</w:t>
      </w:r>
      <w:r>
        <w:rPr>
          <w:rFonts w:ascii="宋体" w:hAnsi="宋体"/>
          <w:sz w:val="24"/>
          <w:szCs w:val="24"/>
        </w:rPr>
        <w:t>签发的我方（请填写非自然人的非法人的具体证照名称）复印件，该证明材料真实有效，否则我方负全部责任。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□现附上由</w:t>
      </w:r>
      <w:r>
        <w:rPr>
          <w:rFonts w:ascii="宋体" w:hAnsi="宋体"/>
          <w:sz w:val="24"/>
          <w:szCs w:val="24"/>
          <w:u w:val="single"/>
        </w:rPr>
        <w:t>（（填写“签发机关全称”）</w:t>
      </w:r>
      <w:r>
        <w:rPr>
          <w:rFonts w:ascii="宋体" w:hAnsi="宋体"/>
          <w:sz w:val="24"/>
          <w:szCs w:val="24"/>
        </w:rPr>
        <w:t>签发的我方（请填写自然人的身份证件名称）复印件，该证明材料真实有效，否则我方负全部责任。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1、请投标人按照实际情况编制填写，在相应的（）中打“√”并选择相应的“□”（若有）后，再按照本格式的要求提供相应证明材料的复印件。</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w:t>
      </w:r>
      <w:r>
        <w:rPr>
          <w:rFonts w:ascii="宋体" w:hAnsi="宋体"/>
          <w:sz w:val="24"/>
          <w:szCs w:val="24"/>
          <w:u w:val="single"/>
        </w:rPr>
        <w:t>（全称并加盖单位公章）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w:t>
      </w:r>
      <w:r>
        <w:rPr>
          <w:rFonts w:ascii="宋体" w:hAnsi="宋体"/>
          <w:sz w:val="24"/>
          <w:szCs w:val="24"/>
          <w:u w:val="single"/>
        </w:rPr>
        <w:t>　　年　　月　　日</w:t>
      </w: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二-3财务状况报告（财务报告、或资信证明）</w:t>
      </w:r>
    </w:p>
    <w:p>
      <w:pPr>
        <w:pStyle w:val="55"/>
        <w:widowControl w:val="0"/>
        <w:spacing w:line="360" w:lineRule="auto"/>
        <w:rPr>
          <w:rFonts w:hint="default" w:ascii="宋体" w:hAnsi="宋体"/>
          <w:sz w:val="24"/>
          <w:szCs w:val="24"/>
        </w:rPr>
      </w:pPr>
      <w:r>
        <w:rPr>
          <w:rFonts w:ascii="宋体" w:hAnsi="宋体"/>
          <w:sz w:val="24"/>
          <w:szCs w:val="24"/>
        </w:rPr>
        <w:t>致：</w:t>
      </w:r>
      <w:r>
        <w:rPr>
          <w:rFonts w:ascii="宋体" w:hAnsi="宋体"/>
          <w:sz w:val="24"/>
          <w:szCs w:val="24"/>
          <w:u w:val="single"/>
        </w:rPr>
        <w:t>（采购人或采购代理机构）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）投标人提供财务报告的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□企业适用：现附上我方</w:t>
      </w:r>
      <w:r>
        <w:rPr>
          <w:rFonts w:ascii="宋体" w:hAnsi="宋体"/>
          <w:sz w:val="24"/>
          <w:szCs w:val="24"/>
          <w:u w:val="single"/>
        </w:rPr>
        <w:t>（填写“具体的年度、或半年度、季度”）</w:t>
      </w:r>
      <w:r>
        <w:rPr>
          <w:rFonts w:ascii="宋体" w:hAnsi="宋体"/>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□事业单位适用：现附上我方</w:t>
      </w:r>
      <w:r>
        <w:rPr>
          <w:rFonts w:ascii="宋体" w:hAnsi="宋体"/>
          <w:sz w:val="24"/>
          <w:szCs w:val="24"/>
          <w:u w:val="single"/>
        </w:rPr>
        <w:t>（填写“具体的年度、或半年度、或季度”）</w:t>
      </w:r>
      <w:r>
        <w:rPr>
          <w:rFonts w:ascii="宋体" w:hAnsi="宋体"/>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□社会团体、民办非企适用：现附上我方</w:t>
      </w:r>
      <w:r>
        <w:rPr>
          <w:rFonts w:ascii="宋体" w:hAnsi="宋体"/>
          <w:sz w:val="24"/>
          <w:szCs w:val="24"/>
          <w:u w:val="single"/>
        </w:rPr>
        <w:t>（填写“具体的年度、或半年度、或季度”）</w:t>
      </w:r>
      <w:r>
        <w:rPr>
          <w:rFonts w:ascii="宋体" w:hAnsi="宋体"/>
          <w:sz w:val="24"/>
          <w:szCs w:val="24"/>
        </w:rPr>
        <w:t>财务报告复印件，包括资产负债表、业务活动表、现金流量表、会计师事务所营业执照和注册会计师资格证书，上述证明材料真实有效，否则我方负全部责任。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）投标人提供资信证明的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□非自然人适用（包括企业、事业单位、社会团体和其他组织）：现附上我方银行：</w:t>
      </w:r>
      <w:r>
        <w:rPr>
          <w:rFonts w:ascii="宋体" w:hAnsi="宋体"/>
          <w:sz w:val="24"/>
          <w:szCs w:val="24"/>
          <w:u w:val="single"/>
        </w:rPr>
        <w:t>（填写“开户银行全称”）</w:t>
      </w:r>
      <w:r>
        <w:rPr>
          <w:rFonts w:ascii="宋体" w:hAnsi="宋体"/>
          <w:sz w:val="24"/>
          <w:szCs w:val="24"/>
        </w:rPr>
        <w:t>出具的资信证明复印件，上述证明材料真实有效，否则我方负全部责任。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□自然人适用：现附上我方银行</w:t>
      </w:r>
      <w:r>
        <w:rPr>
          <w:rFonts w:ascii="宋体" w:hAnsi="宋体"/>
          <w:sz w:val="24"/>
          <w:szCs w:val="24"/>
          <w:u w:val="single"/>
        </w:rPr>
        <w:t>：（填写自然人的“个人账户的开户银行全称”）</w:t>
      </w:r>
      <w:r>
        <w:rPr>
          <w:rFonts w:ascii="宋体" w:hAnsi="宋体"/>
          <w:sz w:val="24"/>
          <w:szCs w:val="24"/>
        </w:rPr>
        <w:t>出具的资信证明复印件，上述证明材料真实有效，否则我方负全部责任。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1、请投标人按照实际情况编制填写，在相应的（）中打“√”并选择相应的“□”（若有）后，再按照本格式的要求提供相应证明材料的复印件。</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2、投标人提供的财务报告复印件（成立年限按照投标截止时间推算）应符合下列规定：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2.1成立年限满1年及以上的投标人，提供经审计的招标文件规定的年度财务报告。</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2.2成立年限满半年但不足1年的投标人，提供该半年度中任一季度的季度财务报告或该半年度的半年度财务报告。</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w:t>
      </w:r>
      <w:r>
        <w:rPr>
          <w:rFonts w:ascii="宋体" w:hAnsi="宋体"/>
          <w:sz w:val="24"/>
          <w:szCs w:val="24"/>
          <w:u w:val="single"/>
        </w:rPr>
        <w:t>（全称并加盖单位公章）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w:t>
      </w:r>
      <w:r>
        <w:rPr>
          <w:rFonts w:ascii="宋体" w:hAnsi="宋体"/>
          <w:sz w:val="24"/>
          <w:szCs w:val="24"/>
          <w:u w:val="single"/>
        </w:rPr>
        <w:t>　　年　　月　　日</w:t>
      </w: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二-4依法缴纳税收证明材料</w:t>
      </w:r>
    </w:p>
    <w:p>
      <w:pPr>
        <w:pStyle w:val="55"/>
        <w:widowControl w:val="0"/>
        <w:spacing w:line="360" w:lineRule="auto"/>
        <w:rPr>
          <w:rFonts w:hint="default" w:ascii="宋体" w:hAnsi="宋体"/>
          <w:sz w:val="24"/>
          <w:szCs w:val="24"/>
        </w:rPr>
      </w:pPr>
      <w:r>
        <w:rPr>
          <w:rFonts w:ascii="宋体" w:hAnsi="宋体"/>
          <w:sz w:val="24"/>
          <w:szCs w:val="24"/>
        </w:rPr>
        <w:t>致：</w:t>
      </w:r>
      <w:r>
        <w:rPr>
          <w:rFonts w:ascii="宋体" w:hAnsi="宋体"/>
          <w:sz w:val="24"/>
          <w:szCs w:val="24"/>
          <w:u w:val="single"/>
        </w:rPr>
        <w:t>（采购人或采购代理机构）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1、依法缴纳税收的投标人</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）法人（包括企业、事业单位和社会团体）的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现附上自</w:t>
      </w:r>
      <w:r>
        <w:rPr>
          <w:rFonts w:ascii="宋体" w:hAnsi="宋体"/>
          <w:sz w:val="24"/>
          <w:szCs w:val="24"/>
          <w:u w:val="single"/>
        </w:rPr>
        <w:t>　　年　　月　　日</w:t>
      </w:r>
      <w:r>
        <w:rPr>
          <w:rFonts w:ascii="宋体" w:hAnsi="宋体"/>
          <w:sz w:val="24"/>
          <w:szCs w:val="24"/>
        </w:rPr>
        <w:t>至</w:t>
      </w:r>
      <w:r>
        <w:rPr>
          <w:rFonts w:ascii="宋体" w:hAnsi="宋体"/>
          <w:sz w:val="24"/>
          <w:szCs w:val="24"/>
          <w:u w:val="single"/>
        </w:rPr>
        <w:t>　　年　　月　　日</w:t>
      </w:r>
      <w:r>
        <w:rPr>
          <w:rFonts w:ascii="宋体" w:hAnsi="宋体"/>
          <w:sz w:val="24"/>
          <w:szCs w:val="24"/>
        </w:rPr>
        <w:t>期间我方缴纳（包括但不限于税务机关出具的专用收据、税收缴纳证明或税收代缴银行的缴款收讫凭证）等税收凭据复印件，上述证明材料真实有效，否则我方负全部责任。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）非法人（包括其他组织、自然人）的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现附上自</w:t>
      </w:r>
      <w:r>
        <w:rPr>
          <w:rFonts w:ascii="宋体" w:hAnsi="宋体"/>
          <w:sz w:val="24"/>
          <w:szCs w:val="24"/>
          <w:u w:val="single"/>
        </w:rPr>
        <w:t>　　年　　月　　日</w:t>
      </w:r>
      <w:r>
        <w:rPr>
          <w:rFonts w:ascii="宋体" w:hAnsi="宋体"/>
          <w:sz w:val="24"/>
          <w:szCs w:val="24"/>
        </w:rPr>
        <w:t>至</w:t>
      </w:r>
      <w:r>
        <w:rPr>
          <w:rFonts w:ascii="宋体" w:hAnsi="宋体"/>
          <w:sz w:val="24"/>
          <w:szCs w:val="24"/>
          <w:u w:val="single"/>
        </w:rPr>
        <w:t>　　年　　月　　日</w:t>
      </w:r>
      <w:r>
        <w:rPr>
          <w:rFonts w:ascii="宋体" w:hAnsi="宋体"/>
          <w:sz w:val="24"/>
          <w:szCs w:val="24"/>
        </w:rPr>
        <w:t>期间我方缴纳（包括但不限于税务机关出具的专用收据、税收缴纳证明或税收代缴银行的缴款收讫凭证）等税收凭据复印件，上述证明材料真实有效，否则我方负全部责任。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2、依法免税的投标人</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）现附上我方依法免税的证明材料复印件，上述证明材料真实有效，否则我方负全部责任。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1、请投标人按照实际情况编制填写，在相应的（）中打“√”，并按照本格式的要求提供相应证明材料的复印件。</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2、投标人提供的税收缴纳凭据复印件应符合下列规定：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2.1投标截止时间前（不含投标截止时间的当月）已依法缴纳税收的投标人，提供投标截止时间前六个月（不含投标截止时间的当月）中任一月份的税收缴纳凭据复印件。</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2.2投标截止时间的当月成立的投标人，视同满足本项资格条件要求。</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3、若为依法免税范围的投标人，提供依法免税证明材料的，视同满足本项资格条件要求。</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w:t>
      </w:r>
      <w:r>
        <w:rPr>
          <w:rFonts w:ascii="宋体" w:hAnsi="宋体"/>
          <w:sz w:val="24"/>
          <w:szCs w:val="24"/>
          <w:u w:val="single"/>
        </w:rPr>
        <w:t>（全称并加盖单位公章）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w:t>
      </w:r>
      <w:r>
        <w:rPr>
          <w:rFonts w:ascii="宋体" w:hAnsi="宋体"/>
          <w:sz w:val="24"/>
          <w:szCs w:val="24"/>
          <w:u w:val="single"/>
        </w:rPr>
        <w:t>　　年　　月　　日</w:t>
      </w: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二-5依法缴纳社会保障资金证明材料</w:t>
      </w:r>
    </w:p>
    <w:p>
      <w:pPr>
        <w:pStyle w:val="55"/>
        <w:widowControl w:val="0"/>
        <w:spacing w:line="360" w:lineRule="auto"/>
        <w:rPr>
          <w:rFonts w:hint="default" w:ascii="宋体" w:hAnsi="宋体"/>
          <w:sz w:val="24"/>
          <w:szCs w:val="24"/>
        </w:rPr>
      </w:pPr>
      <w:r>
        <w:rPr>
          <w:rFonts w:ascii="宋体" w:hAnsi="宋体"/>
          <w:sz w:val="24"/>
          <w:szCs w:val="24"/>
        </w:rPr>
        <w:t>致：</w:t>
      </w:r>
      <w:r>
        <w:rPr>
          <w:rFonts w:ascii="宋体" w:hAnsi="宋体"/>
          <w:sz w:val="24"/>
          <w:szCs w:val="24"/>
          <w:u w:val="single"/>
        </w:rPr>
        <w:t>（采购人或采购代理机构）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1、依法缴纳社会保障资金的投标人</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）法人（包括企业、事业单位和社会团体）的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现附上自</w:t>
      </w:r>
      <w:r>
        <w:rPr>
          <w:rFonts w:ascii="宋体" w:hAnsi="宋体"/>
          <w:sz w:val="24"/>
          <w:szCs w:val="24"/>
          <w:u w:val="single"/>
        </w:rPr>
        <w:t>　　年　　月　　日</w:t>
      </w:r>
      <w:r>
        <w:rPr>
          <w:rFonts w:ascii="宋体" w:hAnsi="宋体"/>
          <w:sz w:val="24"/>
          <w:szCs w:val="24"/>
        </w:rPr>
        <w:t>至</w:t>
      </w:r>
      <w:r>
        <w:rPr>
          <w:rFonts w:ascii="宋体" w:hAnsi="宋体"/>
          <w:sz w:val="24"/>
          <w:szCs w:val="24"/>
          <w:u w:val="single"/>
        </w:rPr>
        <w:t>　　年　　月　　日</w:t>
      </w:r>
      <w:r>
        <w:rPr>
          <w:rFonts w:ascii="宋体" w:hAnsi="宋体"/>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）非法人（包括其他组织、自然人）的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自</w:t>
      </w:r>
      <w:r>
        <w:rPr>
          <w:rFonts w:ascii="宋体" w:hAnsi="宋体"/>
          <w:sz w:val="24"/>
          <w:szCs w:val="24"/>
          <w:u w:val="single"/>
        </w:rPr>
        <w:t>　　年　　月　　日</w:t>
      </w:r>
      <w:r>
        <w:rPr>
          <w:rFonts w:ascii="宋体" w:hAnsi="宋体"/>
          <w:sz w:val="24"/>
          <w:szCs w:val="24"/>
        </w:rPr>
        <w:t>至</w:t>
      </w:r>
      <w:r>
        <w:rPr>
          <w:rFonts w:ascii="宋体" w:hAnsi="宋体"/>
          <w:sz w:val="24"/>
          <w:szCs w:val="24"/>
          <w:u w:val="single"/>
        </w:rPr>
        <w:t>　　年　　月　　日</w:t>
      </w:r>
      <w:r>
        <w:rPr>
          <w:rFonts w:ascii="宋体" w:hAnsi="宋体"/>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2、依法不需要缴纳或暂缓缴纳社会保障资金的投标人</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）现附上我方依法不需要缴纳或暂缓缴纳社会保障资金证明材料复印件，上述证明材料真实有效，否则我方负全部责任。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1、请投标人按照实际情况编制填写，在相应的（）中打“√”，并按照本格式的要求提供相应证明材料的复印件。</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2、投标人提供的社会保障资金缴纳凭据复印件应符合下列规定：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2.2投标截止时间的当月成立的投标人，视同满足本项资格条件要求。</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3、若为依法不需要缴纳或暂缓缴纳社会保障资金的投标人，提供依法不需要缴纳或暂缓缴纳社会保障资金证明材料的，视同满足本项资格条件要求。</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w:t>
      </w:r>
      <w:r>
        <w:rPr>
          <w:rFonts w:ascii="宋体" w:hAnsi="宋体"/>
          <w:sz w:val="24"/>
          <w:szCs w:val="24"/>
          <w:u w:val="single"/>
        </w:rPr>
        <w:t>（全称并加盖单位公章）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w:t>
      </w:r>
      <w:r>
        <w:rPr>
          <w:rFonts w:ascii="宋体" w:hAnsi="宋体"/>
          <w:sz w:val="24"/>
          <w:szCs w:val="24"/>
          <w:u w:val="single"/>
        </w:rPr>
        <w:t>　　年　　月　　日</w:t>
      </w: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二-6具备履行合同所必需设备和专业技术能力的声明函（若有）</w:t>
      </w:r>
    </w:p>
    <w:p>
      <w:pPr>
        <w:pStyle w:val="55"/>
        <w:widowControl w:val="0"/>
        <w:spacing w:line="360" w:lineRule="auto"/>
        <w:rPr>
          <w:rFonts w:hint="default" w:ascii="宋体" w:hAnsi="宋体"/>
          <w:sz w:val="24"/>
          <w:szCs w:val="24"/>
        </w:rPr>
      </w:pPr>
    </w:p>
    <w:p>
      <w:pPr>
        <w:pStyle w:val="55"/>
        <w:widowControl w:val="0"/>
        <w:spacing w:line="360" w:lineRule="auto"/>
        <w:rPr>
          <w:rFonts w:hint="default" w:ascii="宋体" w:hAnsi="宋体"/>
          <w:sz w:val="24"/>
          <w:szCs w:val="24"/>
        </w:rPr>
      </w:pPr>
      <w:r>
        <w:rPr>
          <w:rFonts w:ascii="宋体" w:hAnsi="宋体"/>
          <w:sz w:val="24"/>
          <w:szCs w:val="24"/>
        </w:rPr>
        <w:t>致：</w:t>
      </w:r>
      <w:r>
        <w:rPr>
          <w:rFonts w:ascii="宋体" w:hAnsi="宋体"/>
          <w:sz w:val="24"/>
          <w:szCs w:val="24"/>
          <w:u w:val="single"/>
        </w:rPr>
        <w:t>（采购人或采购代理机构）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我方具备履行合同所必需的设备和专业技术能力，否则产生不利后果由我方承担责任。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特此声明。</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1、招标文件未要求投标人提供“具备履行合同所必需的设备和专业技术能力专项证明材料”的，投标人应提供本声明函。</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2、招标文件要求投标人提供“具备履行合同所必需的设备和专业技术能力专项证明材料”的，投标人可不提供本声明函。</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3、请投标人根据实际情况如实声明，否则视为提供虚假材料。</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w:t>
      </w:r>
      <w:r>
        <w:rPr>
          <w:rFonts w:ascii="宋体" w:hAnsi="宋体"/>
          <w:sz w:val="24"/>
          <w:szCs w:val="24"/>
          <w:u w:val="single"/>
        </w:rPr>
        <w:t>（全称并加盖单位公章）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w:t>
      </w:r>
      <w:r>
        <w:rPr>
          <w:rFonts w:ascii="宋体" w:hAnsi="宋体"/>
          <w:sz w:val="24"/>
          <w:szCs w:val="24"/>
          <w:u w:val="single"/>
        </w:rPr>
        <w:t>　　年　　月　　日</w:t>
      </w: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二-7参加采购活动前三年内在经营活动中没有重大违法记录书面声明</w:t>
      </w:r>
    </w:p>
    <w:p>
      <w:pPr>
        <w:pStyle w:val="55"/>
        <w:widowControl w:val="0"/>
        <w:spacing w:line="360" w:lineRule="auto"/>
        <w:rPr>
          <w:rFonts w:hint="default" w:ascii="宋体" w:hAnsi="宋体"/>
          <w:sz w:val="24"/>
          <w:szCs w:val="24"/>
        </w:rPr>
      </w:pPr>
    </w:p>
    <w:p>
      <w:pPr>
        <w:pStyle w:val="55"/>
        <w:widowControl w:val="0"/>
        <w:spacing w:line="360" w:lineRule="auto"/>
        <w:rPr>
          <w:rFonts w:hint="default" w:ascii="宋体" w:hAnsi="宋体"/>
          <w:sz w:val="24"/>
          <w:szCs w:val="24"/>
        </w:rPr>
      </w:pPr>
      <w:r>
        <w:rPr>
          <w:rFonts w:ascii="宋体" w:hAnsi="宋体"/>
          <w:sz w:val="24"/>
          <w:szCs w:val="24"/>
        </w:rPr>
        <w:t>致：</w:t>
      </w:r>
      <w:r>
        <w:rPr>
          <w:rFonts w:ascii="宋体" w:hAnsi="宋体"/>
          <w:sz w:val="24"/>
          <w:szCs w:val="24"/>
          <w:u w:val="single"/>
        </w:rPr>
        <w:t>（采购人或采购代理机构）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特此声明。</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请投标人根据实际情况如实声明，否则视为提供虚假材料。</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w:t>
      </w:r>
      <w:r>
        <w:rPr>
          <w:rFonts w:ascii="宋体" w:hAnsi="宋体"/>
          <w:sz w:val="24"/>
          <w:szCs w:val="24"/>
          <w:u w:val="single"/>
        </w:rPr>
        <w:t>（全称并加盖单位公章）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w:t>
      </w:r>
      <w:r>
        <w:rPr>
          <w:rFonts w:ascii="宋体" w:hAnsi="宋体"/>
          <w:sz w:val="24"/>
          <w:szCs w:val="24"/>
          <w:u w:val="single"/>
        </w:rPr>
        <w:t>　　年　　月　　日</w:t>
      </w: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ind w:firstLine="480" w:firstLineChars="200"/>
        <w:rPr>
          <w:rFonts w:hint="default" w:ascii="宋体" w:hAnsi="宋体"/>
          <w:sz w:val="24"/>
          <w:szCs w:val="24"/>
        </w:rPr>
        <w:sectPr>
          <w:type w:val="continuous"/>
          <w:pgSz w:w="11906" w:h="16838"/>
          <w:pgMar w:top="1418" w:right="1418" w:bottom="1418" w:left="1418" w:header="851" w:footer="992" w:gutter="0"/>
          <w:cols w:space="720" w:num="1"/>
          <w:docGrid w:type="lines" w:linePitch="312" w:charSpace="0"/>
        </w:sectPr>
      </w:pPr>
    </w:p>
    <w:p>
      <w:pPr>
        <w:pStyle w:val="55"/>
        <w:widowControl w:val="0"/>
        <w:spacing w:line="360" w:lineRule="auto"/>
        <w:jc w:val="center"/>
        <w:rPr>
          <w:rFonts w:hint="default" w:ascii="宋体" w:hAnsi="宋体"/>
          <w:sz w:val="24"/>
          <w:szCs w:val="24"/>
        </w:rPr>
      </w:pPr>
      <w:r>
        <w:rPr>
          <w:rFonts w:ascii="宋体" w:hAnsi="宋体"/>
          <w:b/>
          <w:sz w:val="24"/>
          <w:szCs w:val="24"/>
        </w:rPr>
        <w:t>二-8信用记录查询提示</w:t>
      </w:r>
    </w:p>
    <w:p>
      <w:pPr>
        <w:pStyle w:val="55"/>
        <w:widowControl w:val="0"/>
        <w:spacing w:line="360" w:lineRule="auto"/>
        <w:ind w:firstLine="480" w:firstLineChars="200"/>
        <w:rPr>
          <w:rFonts w:hint="default" w:ascii="宋体" w:hAnsi="宋体"/>
          <w:sz w:val="24"/>
          <w:szCs w:val="24"/>
        </w:rPr>
      </w:pPr>
    </w:p>
    <w:p>
      <w:pPr>
        <w:pStyle w:val="55"/>
        <w:widowControl w:val="0"/>
        <w:spacing w:line="360" w:lineRule="auto"/>
        <w:ind w:firstLine="480" w:firstLineChars="200"/>
        <w:rPr>
          <w:rFonts w:hint="default" w:ascii="宋体" w:hAnsi="宋体"/>
          <w:sz w:val="24"/>
          <w:szCs w:val="24"/>
        </w:rPr>
      </w:pPr>
      <w:r>
        <w:rPr>
          <w:rFonts w:ascii="宋体" w:hAnsi="宋体"/>
          <w:sz w:val="24"/>
          <w:szCs w:val="24"/>
        </w:rPr>
        <w:t>1、由资格审查小组通过网站查询并打印投标人的信用记录。</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二-9中小企业声明函</w:t>
      </w:r>
    </w:p>
    <w:p>
      <w:pPr>
        <w:pStyle w:val="55"/>
        <w:widowControl w:val="0"/>
        <w:spacing w:line="360" w:lineRule="auto"/>
        <w:jc w:val="center"/>
        <w:rPr>
          <w:rFonts w:hint="default" w:ascii="宋体" w:hAnsi="宋体"/>
          <w:sz w:val="24"/>
          <w:szCs w:val="24"/>
        </w:rPr>
      </w:pPr>
      <w:r>
        <w:rPr>
          <w:rFonts w:ascii="宋体" w:hAnsi="宋体"/>
          <w:b/>
          <w:sz w:val="24"/>
          <w:szCs w:val="24"/>
        </w:rPr>
        <w:t>（以资格条件落实中小企业扶持政策时适用，若有）</w:t>
      </w:r>
    </w:p>
    <w:p>
      <w:pPr>
        <w:pStyle w:val="55"/>
        <w:widowControl w:val="0"/>
        <w:spacing w:line="360" w:lineRule="auto"/>
        <w:jc w:val="center"/>
        <w:rPr>
          <w:rFonts w:hint="default" w:ascii="宋体" w:hAnsi="宋体"/>
          <w:sz w:val="24"/>
          <w:szCs w:val="24"/>
        </w:rPr>
      </w:pPr>
      <w:r>
        <w:rPr>
          <w:rFonts w:ascii="宋体" w:hAnsi="宋体"/>
          <w:b/>
          <w:sz w:val="24"/>
          <w:szCs w:val="24"/>
        </w:rPr>
        <w:t>中小企业声明函（货物）</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本公司（联合体）郑重声明，根据《政府采购促进中小企业发展管理办法》（财库﹝2020﹞46 号）的规定，本公司（联合体）参加</w:t>
      </w:r>
      <w:r>
        <w:rPr>
          <w:rFonts w:ascii="宋体" w:hAnsi="宋体"/>
          <w:sz w:val="24"/>
          <w:szCs w:val="24"/>
          <w:u w:val="single"/>
        </w:rPr>
        <w:t>（单位名称）</w:t>
      </w:r>
      <w:r>
        <w:rPr>
          <w:rFonts w:ascii="宋体" w:hAnsi="宋体"/>
          <w:sz w:val="24"/>
          <w:szCs w:val="24"/>
        </w:rPr>
        <w:t>的</w:t>
      </w:r>
      <w:r>
        <w:rPr>
          <w:rFonts w:ascii="宋体" w:hAnsi="宋体"/>
          <w:sz w:val="24"/>
          <w:szCs w:val="24"/>
          <w:u w:val="single"/>
        </w:rPr>
        <w:t>（项目名称）</w:t>
      </w:r>
      <w:r>
        <w:rPr>
          <w:rFonts w:ascii="宋体" w:hAnsi="宋体"/>
          <w:sz w:val="24"/>
          <w:szCs w:val="24"/>
        </w:rPr>
        <w:t>采购活动，提供的货物全部由符合政策要求的中小企业制造。相关企业（含联合体中的中小企业、签订分包意向协议的中小企业）的具体情况如下：</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w:t>
      </w:r>
      <w:r>
        <w:rPr>
          <w:rFonts w:ascii="宋体" w:hAnsi="宋体"/>
          <w:sz w:val="24"/>
          <w:szCs w:val="24"/>
          <w:u w:val="single"/>
        </w:rPr>
        <w:t>（标的名称）</w:t>
      </w:r>
      <w:r>
        <w:rPr>
          <w:rFonts w:ascii="宋体" w:hAnsi="宋体"/>
          <w:sz w:val="24"/>
          <w:szCs w:val="24"/>
        </w:rPr>
        <w:t>，属于</w:t>
      </w:r>
      <w:r>
        <w:rPr>
          <w:rFonts w:ascii="宋体" w:hAnsi="宋体"/>
          <w:sz w:val="24"/>
          <w:szCs w:val="24"/>
          <w:u w:val="single"/>
        </w:rPr>
        <w:t>（采购文件中明确的所属行业）</w:t>
      </w:r>
      <w:r>
        <w:rPr>
          <w:rFonts w:ascii="宋体" w:hAnsi="宋体"/>
          <w:sz w:val="24"/>
          <w:szCs w:val="24"/>
        </w:rPr>
        <w:t>行业；制造商为</w:t>
      </w:r>
      <w:r>
        <w:rPr>
          <w:rFonts w:ascii="宋体" w:hAnsi="宋体"/>
          <w:sz w:val="24"/>
          <w:szCs w:val="24"/>
          <w:u w:val="single"/>
        </w:rPr>
        <w:t>（企业名称）</w:t>
      </w:r>
      <w:r>
        <w:rPr>
          <w:rFonts w:ascii="宋体" w:hAnsi="宋体"/>
          <w:sz w:val="24"/>
          <w:szCs w:val="24"/>
        </w:rPr>
        <w:t>，从业人员</w:t>
      </w:r>
      <w:r>
        <w:rPr>
          <w:rFonts w:ascii="宋体" w:hAnsi="宋体"/>
          <w:sz w:val="24"/>
          <w:szCs w:val="24"/>
          <w:u w:val="single"/>
        </w:rPr>
        <w:t>　　　　　</w:t>
      </w:r>
      <w:r>
        <w:rPr>
          <w:rFonts w:ascii="宋体" w:hAnsi="宋体"/>
          <w:sz w:val="24"/>
          <w:szCs w:val="24"/>
        </w:rPr>
        <w:t>人，营业收入为</w:t>
      </w:r>
      <w:r>
        <w:rPr>
          <w:rFonts w:ascii="宋体" w:hAnsi="宋体"/>
          <w:sz w:val="24"/>
          <w:szCs w:val="24"/>
          <w:u w:val="single"/>
        </w:rPr>
        <w:t>　　　　　</w:t>
      </w:r>
      <w:r>
        <w:rPr>
          <w:rFonts w:ascii="宋体" w:hAnsi="宋体"/>
          <w:sz w:val="24"/>
          <w:szCs w:val="24"/>
        </w:rPr>
        <w:t>万元，资产总额为</w:t>
      </w:r>
      <w:r>
        <w:rPr>
          <w:rFonts w:ascii="宋体" w:hAnsi="宋体"/>
          <w:sz w:val="24"/>
          <w:szCs w:val="24"/>
          <w:u w:val="single"/>
        </w:rPr>
        <w:t>　　　　　</w:t>
      </w:r>
      <w:r>
        <w:rPr>
          <w:rFonts w:ascii="宋体" w:hAnsi="宋体"/>
          <w:sz w:val="24"/>
          <w:szCs w:val="24"/>
        </w:rPr>
        <w:t>万元</w:t>
      </w:r>
      <w:r>
        <w:rPr>
          <w:rFonts w:ascii="宋体" w:hAnsi="宋体" w:cs="宋体"/>
          <w:sz w:val="24"/>
          <w:szCs w:val="24"/>
        </w:rPr>
        <w:t>1</w:t>
      </w:r>
      <w:r>
        <w:rPr>
          <w:rFonts w:ascii="宋体" w:hAnsi="宋体"/>
          <w:sz w:val="24"/>
          <w:szCs w:val="24"/>
        </w:rPr>
        <w:t>，属于</w:t>
      </w:r>
      <w:r>
        <w:rPr>
          <w:rFonts w:ascii="宋体" w:hAnsi="宋体"/>
          <w:sz w:val="24"/>
          <w:szCs w:val="24"/>
          <w:u w:val="single"/>
        </w:rPr>
        <w:t>（中型企业、小型企业、微型企业）</w:t>
      </w:r>
      <w:r>
        <w:rPr>
          <w:rFonts w:ascii="宋体" w:hAnsi="宋体"/>
          <w:sz w:val="24"/>
          <w:szCs w:val="24"/>
        </w:rPr>
        <w:t>；</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w:t>
      </w:r>
      <w:r>
        <w:rPr>
          <w:rFonts w:ascii="宋体" w:hAnsi="宋体"/>
          <w:sz w:val="24"/>
          <w:szCs w:val="24"/>
          <w:u w:val="single"/>
        </w:rPr>
        <w:t>（标的名称）</w:t>
      </w:r>
      <w:r>
        <w:rPr>
          <w:rFonts w:ascii="宋体" w:hAnsi="宋体"/>
          <w:sz w:val="24"/>
          <w:szCs w:val="24"/>
        </w:rPr>
        <w:t>，属于</w:t>
      </w:r>
      <w:r>
        <w:rPr>
          <w:rFonts w:ascii="宋体" w:hAnsi="宋体"/>
          <w:sz w:val="24"/>
          <w:szCs w:val="24"/>
          <w:u w:val="single"/>
        </w:rPr>
        <w:t>（采购文件中明确的所属行业）</w:t>
      </w:r>
      <w:r>
        <w:rPr>
          <w:rFonts w:ascii="宋体" w:hAnsi="宋体"/>
          <w:sz w:val="24"/>
          <w:szCs w:val="24"/>
        </w:rPr>
        <w:t>行业；制造商为</w:t>
      </w:r>
      <w:r>
        <w:rPr>
          <w:rFonts w:ascii="宋体" w:hAnsi="宋体"/>
          <w:sz w:val="24"/>
          <w:szCs w:val="24"/>
          <w:u w:val="single"/>
        </w:rPr>
        <w:t>（企业名称）</w:t>
      </w:r>
      <w:r>
        <w:rPr>
          <w:rFonts w:ascii="宋体" w:hAnsi="宋体"/>
          <w:sz w:val="24"/>
          <w:szCs w:val="24"/>
        </w:rPr>
        <w:t>，从业人员</w:t>
      </w:r>
      <w:r>
        <w:rPr>
          <w:rFonts w:ascii="宋体" w:hAnsi="宋体"/>
          <w:sz w:val="24"/>
          <w:szCs w:val="24"/>
          <w:u w:val="single"/>
        </w:rPr>
        <w:t>　　　　　</w:t>
      </w:r>
      <w:r>
        <w:rPr>
          <w:rFonts w:ascii="宋体" w:hAnsi="宋体"/>
          <w:sz w:val="24"/>
          <w:szCs w:val="24"/>
        </w:rPr>
        <w:t>人，营业收入为</w:t>
      </w:r>
      <w:r>
        <w:rPr>
          <w:rFonts w:ascii="宋体" w:hAnsi="宋体"/>
          <w:sz w:val="24"/>
          <w:szCs w:val="24"/>
          <w:u w:val="single"/>
        </w:rPr>
        <w:t>　　　　　</w:t>
      </w:r>
      <w:r>
        <w:rPr>
          <w:rFonts w:ascii="宋体" w:hAnsi="宋体"/>
          <w:sz w:val="24"/>
          <w:szCs w:val="24"/>
        </w:rPr>
        <w:t>万元，资产总额为</w:t>
      </w:r>
      <w:r>
        <w:rPr>
          <w:rFonts w:ascii="宋体" w:hAnsi="宋体"/>
          <w:sz w:val="24"/>
          <w:szCs w:val="24"/>
          <w:u w:val="single"/>
        </w:rPr>
        <w:t>　　　　　</w:t>
      </w:r>
      <w:r>
        <w:rPr>
          <w:rFonts w:ascii="宋体" w:hAnsi="宋体"/>
          <w:sz w:val="24"/>
          <w:szCs w:val="24"/>
        </w:rPr>
        <w:t>万元，属于</w:t>
      </w:r>
      <w:r>
        <w:rPr>
          <w:rFonts w:ascii="宋体" w:hAnsi="宋体"/>
          <w:sz w:val="24"/>
          <w:szCs w:val="24"/>
          <w:u w:val="single"/>
        </w:rPr>
        <w:t>（中型企业、小型企业、微型企业）</w:t>
      </w:r>
      <w:r>
        <w:rPr>
          <w:rFonts w:ascii="宋体" w:hAnsi="宋体"/>
          <w:sz w:val="24"/>
          <w:szCs w:val="24"/>
        </w:rPr>
        <w:t>；</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以上企业，不属于大企业的分支机构，不存在控股股东为大企业的情形，也不存在与大企业的负责人为同一人的情形。</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本企业对上述声明内容的真实性负责。如有虚假，将依法承担相应责任。</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w:t>
      </w:r>
      <w:r>
        <w:rPr>
          <w:rFonts w:ascii="宋体" w:hAnsi="宋体"/>
          <w:sz w:val="24"/>
          <w:szCs w:val="24"/>
          <w:u w:val="single"/>
        </w:rPr>
        <w:t>（全称并加盖单位公章）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w:t>
      </w:r>
      <w:r>
        <w:rPr>
          <w:rFonts w:ascii="宋体" w:hAnsi="宋体"/>
          <w:sz w:val="24"/>
          <w:szCs w:val="24"/>
          <w:u w:val="single"/>
        </w:rPr>
        <w:t>　　年　　月　　日</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1、从业人员、营业收入、资产总额填报上一年度数据，无上一年度数据的新成立企业可不填报。</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5"/>
        <w:widowControl w:val="0"/>
        <w:spacing w:line="360" w:lineRule="auto"/>
        <w:jc w:val="center"/>
        <w:rPr>
          <w:rFonts w:hint="default" w:ascii="宋体" w:hAnsi="宋体"/>
          <w:sz w:val="24"/>
          <w:szCs w:val="24"/>
        </w:rPr>
      </w:pPr>
      <w:r>
        <w:rPr>
          <w:rFonts w:ascii="宋体" w:hAnsi="宋体"/>
          <w:b/>
          <w:sz w:val="24"/>
          <w:szCs w:val="24"/>
        </w:rPr>
        <w:t>中小企业声明函（工程、服务）</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本公司（联合体）郑重声明，根据《政府采购促进中小企业发展管理办法》（财库﹝2020﹞46 号）的规定，本公司（联合体）参加</w:t>
      </w:r>
      <w:r>
        <w:rPr>
          <w:rFonts w:ascii="宋体" w:hAnsi="宋体"/>
          <w:sz w:val="24"/>
          <w:szCs w:val="24"/>
          <w:u w:val="single"/>
        </w:rPr>
        <w:t>（单位名称）</w:t>
      </w:r>
      <w:r>
        <w:rPr>
          <w:rFonts w:ascii="宋体" w:hAnsi="宋体"/>
          <w:sz w:val="24"/>
          <w:szCs w:val="24"/>
        </w:rPr>
        <w:t>的</w:t>
      </w:r>
      <w:r>
        <w:rPr>
          <w:rFonts w:ascii="宋体" w:hAnsi="宋体"/>
          <w:sz w:val="24"/>
          <w:szCs w:val="24"/>
          <w:u w:val="single"/>
        </w:rPr>
        <w:t>（项目名称）</w:t>
      </w:r>
      <w:r>
        <w:rPr>
          <w:rFonts w:ascii="宋体" w:hAnsi="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w:t>
      </w:r>
      <w:r>
        <w:rPr>
          <w:rFonts w:ascii="宋体" w:hAnsi="宋体"/>
          <w:sz w:val="24"/>
          <w:szCs w:val="24"/>
          <w:u w:val="single"/>
        </w:rPr>
        <w:t>（标的名称）</w:t>
      </w:r>
      <w:r>
        <w:rPr>
          <w:rFonts w:ascii="宋体" w:hAnsi="宋体"/>
          <w:sz w:val="24"/>
          <w:szCs w:val="24"/>
        </w:rPr>
        <w:t>，属于</w:t>
      </w:r>
      <w:r>
        <w:rPr>
          <w:rFonts w:ascii="宋体" w:hAnsi="宋体"/>
          <w:sz w:val="24"/>
          <w:szCs w:val="24"/>
          <w:u w:val="single"/>
        </w:rPr>
        <w:t>（采购文件中明确的所属行业）</w:t>
      </w:r>
      <w:r>
        <w:rPr>
          <w:rFonts w:ascii="宋体" w:hAnsi="宋体"/>
          <w:sz w:val="24"/>
          <w:szCs w:val="24"/>
        </w:rPr>
        <w:t>；承建（承接）企业为</w:t>
      </w:r>
      <w:r>
        <w:rPr>
          <w:rFonts w:ascii="宋体" w:hAnsi="宋体"/>
          <w:sz w:val="24"/>
          <w:szCs w:val="24"/>
          <w:u w:val="single"/>
        </w:rPr>
        <w:t>（企业名称）</w:t>
      </w:r>
      <w:r>
        <w:rPr>
          <w:rFonts w:ascii="宋体" w:hAnsi="宋体"/>
          <w:sz w:val="24"/>
          <w:szCs w:val="24"/>
        </w:rPr>
        <w:t>，从业人员</w:t>
      </w:r>
      <w:r>
        <w:rPr>
          <w:rFonts w:ascii="宋体" w:hAnsi="宋体"/>
          <w:sz w:val="24"/>
          <w:szCs w:val="24"/>
          <w:u w:val="single"/>
        </w:rPr>
        <w:t>　　　　　</w:t>
      </w:r>
      <w:r>
        <w:rPr>
          <w:rFonts w:ascii="宋体" w:hAnsi="宋体"/>
          <w:sz w:val="24"/>
          <w:szCs w:val="24"/>
        </w:rPr>
        <w:t>人，营业收入为</w:t>
      </w:r>
      <w:r>
        <w:rPr>
          <w:rFonts w:ascii="宋体" w:hAnsi="宋体"/>
          <w:sz w:val="24"/>
          <w:szCs w:val="24"/>
          <w:u w:val="single"/>
        </w:rPr>
        <w:t>　　　　　</w:t>
      </w:r>
      <w:r>
        <w:rPr>
          <w:rFonts w:ascii="宋体" w:hAnsi="宋体"/>
          <w:sz w:val="24"/>
          <w:szCs w:val="24"/>
        </w:rPr>
        <w:t>万元，资产总额为</w:t>
      </w:r>
      <w:r>
        <w:rPr>
          <w:rFonts w:ascii="宋体" w:hAnsi="宋体"/>
          <w:sz w:val="24"/>
          <w:szCs w:val="24"/>
          <w:u w:val="single"/>
        </w:rPr>
        <w:t>　　　　　</w:t>
      </w:r>
      <w:r>
        <w:rPr>
          <w:rFonts w:ascii="宋体" w:hAnsi="宋体"/>
          <w:sz w:val="24"/>
          <w:szCs w:val="24"/>
        </w:rPr>
        <w:t>万元</w:t>
      </w:r>
      <w:r>
        <w:rPr>
          <w:rFonts w:ascii="宋体" w:hAnsi="宋体" w:cs="宋体"/>
          <w:sz w:val="24"/>
          <w:szCs w:val="24"/>
        </w:rPr>
        <w:t>1</w:t>
      </w:r>
      <w:r>
        <w:rPr>
          <w:rFonts w:ascii="宋体" w:hAnsi="宋体"/>
          <w:sz w:val="24"/>
          <w:szCs w:val="24"/>
        </w:rPr>
        <w:t>，属于</w:t>
      </w:r>
      <w:r>
        <w:rPr>
          <w:rFonts w:ascii="宋体" w:hAnsi="宋体"/>
          <w:sz w:val="24"/>
          <w:szCs w:val="24"/>
          <w:u w:val="single"/>
        </w:rPr>
        <w:t>（中型企业、小型企业、微型企业）</w:t>
      </w:r>
      <w:r>
        <w:rPr>
          <w:rFonts w:ascii="宋体" w:hAnsi="宋体"/>
          <w:sz w:val="24"/>
          <w:szCs w:val="24"/>
        </w:rPr>
        <w:t>；</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w:t>
      </w:r>
      <w:r>
        <w:rPr>
          <w:rFonts w:ascii="宋体" w:hAnsi="宋体"/>
          <w:sz w:val="24"/>
          <w:szCs w:val="24"/>
          <w:u w:val="single"/>
        </w:rPr>
        <w:t>（标的名称）</w:t>
      </w:r>
      <w:r>
        <w:rPr>
          <w:rFonts w:ascii="宋体" w:hAnsi="宋体"/>
          <w:sz w:val="24"/>
          <w:szCs w:val="24"/>
        </w:rPr>
        <w:t>，属于</w:t>
      </w:r>
      <w:r>
        <w:rPr>
          <w:rFonts w:ascii="宋体" w:hAnsi="宋体"/>
          <w:sz w:val="24"/>
          <w:szCs w:val="24"/>
          <w:u w:val="single"/>
        </w:rPr>
        <w:t>（采购文件中明确的所属行业）</w:t>
      </w:r>
      <w:r>
        <w:rPr>
          <w:rFonts w:ascii="宋体" w:hAnsi="宋体"/>
          <w:sz w:val="24"/>
          <w:szCs w:val="24"/>
        </w:rPr>
        <w:t>；承建（承接）企业为</w:t>
      </w:r>
      <w:r>
        <w:rPr>
          <w:rFonts w:ascii="宋体" w:hAnsi="宋体"/>
          <w:sz w:val="24"/>
          <w:szCs w:val="24"/>
          <w:u w:val="single"/>
        </w:rPr>
        <w:t>（企业名称）</w:t>
      </w:r>
      <w:r>
        <w:rPr>
          <w:rFonts w:ascii="宋体" w:hAnsi="宋体"/>
          <w:sz w:val="24"/>
          <w:szCs w:val="24"/>
        </w:rPr>
        <w:t>，从业人员</w:t>
      </w:r>
      <w:r>
        <w:rPr>
          <w:rFonts w:ascii="宋体" w:hAnsi="宋体"/>
          <w:sz w:val="24"/>
          <w:szCs w:val="24"/>
          <w:u w:val="single"/>
        </w:rPr>
        <w:t>　　　　　</w:t>
      </w:r>
      <w:r>
        <w:rPr>
          <w:rFonts w:ascii="宋体" w:hAnsi="宋体"/>
          <w:sz w:val="24"/>
          <w:szCs w:val="24"/>
        </w:rPr>
        <w:t>人，营业收入为</w:t>
      </w:r>
      <w:r>
        <w:rPr>
          <w:rFonts w:ascii="宋体" w:hAnsi="宋体"/>
          <w:sz w:val="24"/>
          <w:szCs w:val="24"/>
          <w:u w:val="single"/>
        </w:rPr>
        <w:t>　　　　　</w:t>
      </w:r>
      <w:r>
        <w:rPr>
          <w:rFonts w:ascii="宋体" w:hAnsi="宋体"/>
          <w:sz w:val="24"/>
          <w:szCs w:val="24"/>
        </w:rPr>
        <w:t>万元，资产总额为</w:t>
      </w:r>
      <w:r>
        <w:rPr>
          <w:rFonts w:ascii="宋体" w:hAnsi="宋体"/>
          <w:sz w:val="24"/>
          <w:szCs w:val="24"/>
          <w:u w:val="single"/>
        </w:rPr>
        <w:t>　　　　　</w:t>
      </w:r>
      <w:r>
        <w:rPr>
          <w:rFonts w:ascii="宋体" w:hAnsi="宋体"/>
          <w:sz w:val="24"/>
          <w:szCs w:val="24"/>
        </w:rPr>
        <w:t>万元，属于</w:t>
      </w:r>
      <w:r>
        <w:rPr>
          <w:rFonts w:ascii="宋体" w:hAnsi="宋体"/>
          <w:sz w:val="24"/>
          <w:szCs w:val="24"/>
          <w:u w:val="single"/>
        </w:rPr>
        <w:t>（中型企业、小型企业、微型企业）</w:t>
      </w:r>
      <w:r>
        <w:rPr>
          <w:rFonts w:ascii="宋体" w:hAnsi="宋体"/>
          <w:sz w:val="24"/>
          <w:szCs w:val="24"/>
        </w:rPr>
        <w:t>；</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以上企业，不属于大企业的分支机构，不存在控股股东为大企业的情形，也不存在与大企业的负责人为同一人的情形。</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本企业对上述声明内容的真实性负责。如有虚假，将依法承担相应责任。</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w:t>
      </w:r>
      <w:r>
        <w:rPr>
          <w:rFonts w:ascii="宋体" w:hAnsi="宋体"/>
          <w:sz w:val="24"/>
          <w:szCs w:val="24"/>
          <w:u w:val="single"/>
        </w:rPr>
        <w:t>（全称并加盖单位公章）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w:t>
      </w:r>
      <w:r>
        <w:rPr>
          <w:rFonts w:ascii="宋体" w:hAnsi="宋体"/>
          <w:sz w:val="24"/>
          <w:szCs w:val="24"/>
          <w:u w:val="single"/>
        </w:rPr>
        <w:t>　　年　　月　　日</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1、从业人员、营业收入、资产总额填报上一年度数据，无上一年度数据的新成立企业可不填报。</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残疾人福利性单位声明函</w:t>
      </w:r>
    </w:p>
    <w:p>
      <w:pPr>
        <w:pStyle w:val="55"/>
        <w:widowControl w:val="0"/>
        <w:spacing w:line="360" w:lineRule="auto"/>
        <w:jc w:val="center"/>
        <w:rPr>
          <w:rFonts w:hint="default" w:ascii="宋体" w:hAnsi="宋体"/>
          <w:sz w:val="24"/>
          <w:szCs w:val="24"/>
        </w:rPr>
      </w:pPr>
      <w:r>
        <w:rPr>
          <w:rFonts w:ascii="宋体" w:hAnsi="宋体"/>
          <w:b/>
          <w:sz w:val="24"/>
          <w:szCs w:val="24"/>
        </w:rPr>
        <w:t>（以资格条件落实中小企业扶持政策时适用，若有）</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）由本投标人承建的（填写“所投采购包、品目号”）工程</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）由本投标人承接的（填写“所投采购包、品目号”）服务；</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本投标人对上述声明的真实性负责。如有虚假，将依法承担相应责任。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备注：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1、请投标人按照实际情况编制填写本声明函，并在相应的（）中打“√”。</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2、若《残疾人福利性单位声明函》内容不真实，视为提供虚假材料。</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w:t>
      </w:r>
      <w:r>
        <w:rPr>
          <w:rFonts w:ascii="宋体" w:hAnsi="宋体"/>
          <w:sz w:val="24"/>
          <w:szCs w:val="24"/>
          <w:u w:val="single"/>
        </w:rPr>
        <w:t>（全称并加盖单位公章）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w:t>
      </w:r>
      <w:r>
        <w:rPr>
          <w:rFonts w:ascii="宋体" w:hAnsi="宋体"/>
          <w:sz w:val="24"/>
          <w:szCs w:val="24"/>
          <w:u w:val="single"/>
        </w:rPr>
        <w:t>　　年　　月　　日</w:t>
      </w:r>
    </w:p>
    <w:p>
      <w:pPr>
        <w:pStyle w:val="55"/>
        <w:widowControl w:val="0"/>
        <w:spacing w:line="360" w:lineRule="auto"/>
        <w:rPr>
          <w:rFonts w:hint="default" w:ascii="宋体" w:hAnsi="宋体"/>
          <w:sz w:val="24"/>
          <w:szCs w:val="24"/>
        </w:rPr>
      </w:pPr>
      <w:r>
        <w:rPr>
          <w:rFonts w:ascii="宋体" w:hAnsi="宋体"/>
          <w:sz w:val="24"/>
          <w:szCs w:val="24"/>
        </w:rPr>
        <w:t>附：</w:t>
      </w:r>
    </w:p>
    <w:p>
      <w:pPr>
        <w:pStyle w:val="55"/>
        <w:widowControl w:val="0"/>
        <w:spacing w:line="360" w:lineRule="auto"/>
        <w:ind w:firstLine="482" w:firstLineChars="200"/>
        <w:jc w:val="center"/>
        <w:rPr>
          <w:rFonts w:hint="default" w:ascii="宋体" w:hAnsi="宋体"/>
          <w:sz w:val="24"/>
          <w:szCs w:val="24"/>
        </w:rPr>
      </w:pPr>
      <w:r>
        <w:rPr>
          <w:rFonts w:ascii="宋体" w:hAnsi="宋体"/>
          <w:b/>
          <w:sz w:val="24"/>
          <w:szCs w:val="24"/>
        </w:rPr>
        <w:t>监狱企业证明材料</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投标人为监狱企业，提供本单位制造的货物（承接的服务），并在电子投标文件中提供省级以上监狱管理局、戒毒管理局（含新疆生产建设兵团）出具的属于监狱企业的证明文件。</w:t>
      </w: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二-10联合体协议（若有）</w:t>
      </w:r>
    </w:p>
    <w:p>
      <w:pPr>
        <w:pStyle w:val="55"/>
        <w:widowControl w:val="0"/>
        <w:spacing w:line="360" w:lineRule="auto"/>
        <w:rPr>
          <w:rFonts w:hint="default" w:ascii="宋体" w:hAnsi="宋体"/>
          <w:sz w:val="24"/>
          <w:szCs w:val="24"/>
        </w:rPr>
      </w:pPr>
      <w:r>
        <w:rPr>
          <w:rFonts w:ascii="宋体" w:hAnsi="宋体"/>
          <w:sz w:val="24"/>
          <w:szCs w:val="24"/>
        </w:rPr>
        <w:t>致：</w:t>
      </w:r>
      <w:r>
        <w:rPr>
          <w:rFonts w:ascii="宋体" w:hAnsi="宋体"/>
          <w:sz w:val="24"/>
          <w:szCs w:val="24"/>
          <w:u w:val="single"/>
        </w:rPr>
        <w:t>（采购人或采购代理机构）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兹有</w:t>
      </w:r>
      <w:r>
        <w:rPr>
          <w:rFonts w:ascii="宋体" w:hAnsi="宋体"/>
          <w:sz w:val="24"/>
          <w:szCs w:val="24"/>
          <w:u w:val="single"/>
        </w:rPr>
        <w:t>（填写“联合体中各方的全称”，各方的全称之间请用“、”分割）</w:t>
      </w:r>
      <w:r>
        <w:rPr>
          <w:rFonts w:ascii="宋体" w:hAnsi="宋体"/>
          <w:sz w:val="24"/>
          <w:szCs w:val="24"/>
        </w:rPr>
        <w:t>自愿组成联合体，共同参加</w:t>
      </w:r>
      <w:r>
        <w:rPr>
          <w:rFonts w:ascii="宋体" w:hAnsi="宋体"/>
          <w:sz w:val="24"/>
          <w:szCs w:val="24"/>
          <w:u w:val="single"/>
        </w:rPr>
        <w:t>（填写“项目名称”）</w:t>
      </w:r>
      <w:r>
        <w:rPr>
          <w:rFonts w:ascii="宋体" w:hAnsi="宋体"/>
          <w:sz w:val="24"/>
          <w:szCs w:val="24"/>
        </w:rPr>
        <w:t>项目（项目编号：</w:t>
      </w:r>
      <w:r>
        <w:rPr>
          <w:rFonts w:ascii="宋体" w:hAnsi="宋体"/>
          <w:sz w:val="24"/>
          <w:szCs w:val="24"/>
          <w:u w:val="single"/>
        </w:rPr>
        <w:t>　　　　　　</w:t>
      </w:r>
      <w:r>
        <w:rPr>
          <w:rFonts w:ascii="宋体" w:hAnsi="宋体"/>
          <w:sz w:val="24"/>
          <w:szCs w:val="24"/>
        </w:rPr>
        <w:t>）的投标。现就联合体参加本项目投标的有关事宜达成下列协议：</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一、联合体各方应承担的工作和义务具体如下：</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1、牵头方（全称）：（填写“工作及义务的具体内容”）；</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2、成员方：</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2.1（成员一的全称）：（填写“工作及义务的具体内容”）；</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二、联合体各方的合同金额占比，具体如下：</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1.牵头方（全称）的合同金额占合同总额的　　%；</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2.成员方：</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2.1（</w:t>
      </w:r>
      <w:r>
        <w:rPr>
          <w:rFonts w:ascii="宋体" w:hAnsi="宋体"/>
          <w:sz w:val="24"/>
          <w:szCs w:val="24"/>
          <w:u w:val="single"/>
        </w:rPr>
        <w:t>成员1的全称</w:t>
      </w:r>
      <w:r>
        <w:rPr>
          <w:rFonts w:ascii="宋体" w:hAnsi="宋体"/>
          <w:sz w:val="24"/>
          <w:szCs w:val="24"/>
        </w:rPr>
        <w:t>）的合同金额占合同总额的</w:t>
      </w:r>
      <w:r>
        <w:rPr>
          <w:rFonts w:ascii="宋体" w:hAnsi="宋体"/>
          <w:sz w:val="24"/>
          <w:szCs w:val="24"/>
          <w:u w:val="single"/>
        </w:rPr>
        <w:t>　　</w:t>
      </w:r>
      <w:r>
        <w:rPr>
          <w:rFonts w:ascii="宋体" w:hAnsi="宋体"/>
          <w:sz w:val="24"/>
          <w:szCs w:val="24"/>
        </w:rPr>
        <w:t>%；</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三、联合体各方约定：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1、由</w:t>
      </w:r>
      <w:r>
        <w:rPr>
          <w:rFonts w:ascii="宋体" w:hAnsi="宋体"/>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2、联合体各方约定由</w:t>
      </w:r>
      <w:r>
        <w:rPr>
          <w:rFonts w:ascii="宋体" w:hAnsi="宋体"/>
          <w:sz w:val="24"/>
          <w:szCs w:val="24"/>
          <w:u w:val="single"/>
        </w:rPr>
        <w:t>（填写“牵头方的全称”）代表联合体办理投标保证金事宜。</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五、本协议自签署之日起生效，政府采购合同履行完毕后自动失效。</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六、本协议一式</w:t>
      </w:r>
      <w:r>
        <w:rPr>
          <w:rFonts w:ascii="宋体" w:hAnsi="宋体"/>
          <w:sz w:val="24"/>
          <w:szCs w:val="24"/>
          <w:u w:val="single"/>
        </w:rPr>
        <w:t>（填写具体份数）</w:t>
      </w:r>
      <w:r>
        <w:rPr>
          <w:rFonts w:ascii="宋体" w:hAnsi="宋体"/>
          <w:sz w:val="24"/>
          <w:szCs w:val="24"/>
        </w:rPr>
        <w:t>份，联合体各方各执一份，电子投标文件中提交一份。</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（以下无正文）</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牵头方：</w:t>
      </w:r>
      <w:r>
        <w:rPr>
          <w:rFonts w:ascii="宋体" w:hAnsi="宋体"/>
          <w:sz w:val="24"/>
          <w:szCs w:val="24"/>
          <w:u w:val="single"/>
        </w:rPr>
        <w:t>（全称并加盖单位公章）</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法定代表人或其委托代理人：</w:t>
      </w:r>
      <w:r>
        <w:rPr>
          <w:rFonts w:ascii="宋体" w:hAnsi="宋体"/>
          <w:sz w:val="24"/>
          <w:szCs w:val="24"/>
          <w:u w:val="single"/>
        </w:rPr>
        <w:t>（签字或盖章）</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成员一：</w:t>
      </w:r>
      <w:r>
        <w:rPr>
          <w:rFonts w:ascii="宋体" w:hAnsi="宋体"/>
          <w:sz w:val="24"/>
          <w:szCs w:val="24"/>
          <w:u w:val="single"/>
        </w:rPr>
        <w:t>（全称并加盖成员一的单位公章）</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法定代表人或其委托代理人：</w:t>
      </w:r>
      <w:r>
        <w:rPr>
          <w:rFonts w:ascii="宋体" w:hAnsi="宋体"/>
          <w:sz w:val="24"/>
          <w:szCs w:val="24"/>
          <w:u w:val="single"/>
        </w:rPr>
        <w:t>（签字或盖章）</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成员**：</w:t>
      </w:r>
      <w:r>
        <w:rPr>
          <w:rFonts w:ascii="宋体" w:hAnsi="宋体"/>
          <w:sz w:val="24"/>
          <w:szCs w:val="24"/>
          <w:u w:val="single"/>
        </w:rPr>
        <w:t>（全称并加盖成员**的单位公章）</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法定代表人或其委托代理人：</w:t>
      </w:r>
      <w:r>
        <w:rPr>
          <w:rFonts w:ascii="宋体" w:hAnsi="宋体"/>
          <w:sz w:val="24"/>
          <w:szCs w:val="24"/>
          <w:u w:val="single"/>
        </w:rPr>
        <w:t>（签字或盖章）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签署日期：</w:t>
      </w:r>
      <w:r>
        <w:rPr>
          <w:rFonts w:ascii="宋体" w:hAnsi="宋体"/>
          <w:sz w:val="24"/>
          <w:szCs w:val="24"/>
          <w:u w:val="single"/>
        </w:rPr>
        <w:t>　　年　　月　　日</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1、招标文件接受联合体投标且投标人为联合体的，投标人应提供本协议；否则无须提供。</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2、本协议由委托代理人签字或盖章的，应按照本章载明的格式提供“单位授权书”。</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3、在以联合体形式落实中小企业预留份额项目中，投标人除了要提供《中小企业声明函》，还需提供本协议。</w:t>
      </w: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二-11分包意向协议（若有）</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甲方（总包方）：</w:t>
      </w:r>
      <w:r>
        <w:rPr>
          <w:rFonts w:ascii="宋体" w:hAnsi="宋体"/>
          <w:sz w:val="24"/>
          <w:szCs w:val="24"/>
          <w:u w:val="single"/>
        </w:rPr>
        <w:t>　　　　　　　</w:t>
      </w:r>
      <w:r>
        <w:rPr>
          <w:rFonts w:ascii="宋体" w:hAnsi="宋体"/>
          <w:sz w:val="24"/>
          <w:szCs w:val="24"/>
        </w:rPr>
        <w:t>（即本项目的投标人）</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乙方（分包方）：</w:t>
      </w:r>
      <w:r>
        <w:rPr>
          <w:rFonts w:ascii="宋体" w:hAnsi="宋体"/>
          <w:sz w:val="24"/>
          <w:szCs w:val="24"/>
          <w:u w:val="single"/>
        </w:rPr>
        <w:t>　　　　　　　</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兹有甲方参加</w:t>
      </w:r>
      <w:r>
        <w:rPr>
          <w:rFonts w:ascii="宋体" w:hAnsi="宋体"/>
          <w:sz w:val="24"/>
          <w:szCs w:val="24"/>
          <w:u w:val="single"/>
        </w:rPr>
        <w:t>（填写“项目名称”）</w:t>
      </w:r>
      <w:r>
        <w:rPr>
          <w:rFonts w:ascii="宋体" w:hAnsi="宋体"/>
          <w:sz w:val="24"/>
          <w:szCs w:val="24"/>
        </w:rPr>
        <w:t>项目（项目编号：</w:t>
      </w:r>
      <w:r>
        <w:rPr>
          <w:rFonts w:ascii="宋体" w:hAnsi="宋体"/>
          <w:sz w:val="24"/>
          <w:szCs w:val="24"/>
          <w:u w:val="single"/>
        </w:rPr>
        <w:t>　　　　　　　</w:t>
      </w:r>
      <w:r>
        <w:rPr>
          <w:rFonts w:ascii="宋体" w:hAnsi="宋体"/>
          <w:sz w:val="24"/>
          <w:szCs w:val="24"/>
        </w:rPr>
        <w:t>）的政府采购活动。甲方期望将采购项目的部分采购标的分包给乙方完成，而乙方保证能够向甲方提供本协议项下的采购标的，甲、乙双方就合同分包的有关事宜达成下列协议：</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一、分包标的</w:t>
      </w:r>
    </w:p>
    <w:p>
      <w:pPr>
        <w:pStyle w:val="55"/>
        <w:widowControl w:val="0"/>
        <w:spacing w:line="360" w:lineRule="auto"/>
        <w:ind w:firstLine="480" w:firstLineChars="200"/>
        <w:rPr>
          <w:rFonts w:hint="default" w:ascii="宋体" w:hAnsi="宋体"/>
          <w:sz w:val="24"/>
          <w:szCs w:val="24"/>
        </w:rPr>
      </w:pPr>
      <w:r>
        <w:rPr>
          <w:rFonts w:ascii="宋体" w:hAnsi="宋体"/>
          <w:sz w:val="24"/>
          <w:szCs w:val="24"/>
          <w:u w:val="single"/>
        </w:rPr>
        <w:t>（根据双方的意向填写，可以是表格或文字描述）。</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二、分包合同金额占比</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分包合同价占投标总价的比例：</w:t>
      </w:r>
      <w:r>
        <w:rPr>
          <w:rFonts w:ascii="宋体" w:hAnsi="宋体"/>
          <w:sz w:val="24"/>
          <w:szCs w:val="24"/>
          <w:u w:val="single"/>
        </w:rPr>
        <w:t>　　　　　</w:t>
      </w:r>
      <w:r>
        <w:rPr>
          <w:rFonts w:ascii="宋体" w:hAnsi="宋体"/>
          <w:sz w:val="24"/>
          <w:szCs w:val="24"/>
        </w:rPr>
        <w:t>%</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三、其他条款</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55"/>
              <w:widowControl w:val="0"/>
              <w:spacing w:line="360" w:lineRule="auto"/>
              <w:ind w:firstLine="480" w:firstLineChars="200"/>
              <w:rPr>
                <w:rFonts w:hint="default" w:ascii="宋体" w:hAnsi="宋体"/>
                <w:sz w:val="24"/>
                <w:szCs w:val="24"/>
              </w:rPr>
            </w:pPr>
            <w:r>
              <w:rPr>
                <w:rFonts w:ascii="宋体" w:hAnsi="宋体"/>
                <w:sz w:val="24"/>
                <w:szCs w:val="24"/>
              </w:rPr>
              <w:t>甲方：</w:t>
            </w:r>
          </w:p>
        </w:tc>
        <w:tc>
          <w:tcPr>
            <w:tcW w:w="4153" w:type="dxa"/>
            <w:noWrap w:val="0"/>
            <w:vAlign w:val="top"/>
          </w:tcPr>
          <w:p>
            <w:pPr>
              <w:pStyle w:val="55"/>
              <w:widowControl w:val="0"/>
              <w:spacing w:line="360" w:lineRule="auto"/>
              <w:ind w:firstLine="480" w:firstLineChars="200"/>
              <w:rPr>
                <w:rFonts w:hint="default" w:ascii="宋体" w:hAnsi="宋体"/>
                <w:sz w:val="24"/>
                <w:szCs w:val="24"/>
              </w:rPr>
            </w:pPr>
            <w:r>
              <w:rPr>
                <w:rFonts w:ascii="宋体" w:hAnsi="宋体"/>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55"/>
              <w:widowControl w:val="0"/>
              <w:spacing w:line="360" w:lineRule="auto"/>
              <w:ind w:firstLine="480" w:firstLineChars="200"/>
              <w:rPr>
                <w:rFonts w:hint="default" w:ascii="宋体" w:hAnsi="宋体"/>
                <w:sz w:val="24"/>
                <w:szCs w:val="24"/>
              </w:rPr>
            </w:pPr>
            <w:r>
              <w:rPr>
                <w:rFonts w:ascii="宋体" w:hAnsi="宋体"/>
                <w:sz w:val="24"/>
                <w:szCs w:val="24"/>
              </w:rPr>
              <w:t>住所：</w:t>
            </w:r>
          </w:p>
        </w:tc>
        <w:tc>
          <w:tcPr>
            <w:tcW w:w="4153" w:type="dxa"/>
            <w:noWrap w:val="0"/>
            <w:vAlign w:val="top"/>
          </w:tcPr>
          <w:p>
            <w:pPr>
              <w:pStyle w:val="55"/>
              <w:widowControl w:val="0"/>
              <w:spacing w:line="360" w:lineRule="auto"/>
              <w:ind w:firstLine="480" w:firstLineChars="200"/>
              <w:rPr>
                <w:rFonts w:hint="default" w:ascii="宋体" w:hAnsi="宋体"/>
                <w:sz w:val="24"/>
                <w:szCs w:val="24"/>
              </w:rPr>
            </w:pPr>
            <w:r>
              <w:rPr>
                <w:rFonts w:ascii="宋体" w:hAnsi="宋体"/>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55"/>
              <w:widowControl w:val="0"/>
              <w:spacing w:line="360" w:lineRule="auto"/>
              <w:ind w:firstLine="480" w:firstLineChars="200"/>
              <w:rPr>
                <w:rFonts w:hint="default" w:ascii="宋体" w:hAnsi="宋体"/>
                <w:sz w:val="24"/>
                <w:szCs w:val="24"/>
              </w:rPr>
            </w:pPr>
            <w:r>
              <w:rPr>
                <w:rFonts w:ascii="宋体" w:hAnsi="宋体"/>
                <w:sz w:val="24"/>
                <w:szCs w:val="24"/>
              </w:rPr>
              <w:t>单位负责人或委托代理人：</w:t>
            </w:r>
          </w:p>
        </w:tc>
        <w:tc>
          <w:tcPr>
            <w:tcW w:w="4153" w:type="dxa"/>
            <w:noWrap w:val="0"/>
            <w:vAlign w:val="top"/>
          </w:tcPr>
          <w:p>
            <w:pPr>
              <w:pStyle w:val="55"/>
              <w:widowControl w:val="0"/>
              <w:spacing w:line="360" w:lineRule="auto"/>
              <w:ind w:firstLine="480" w:firstLineChars="200"/>
              <w:rPr>
                <w:rFonts w:hint="default" w:ascii="宋体" w:hAnsi="宋体"/>
                <w:sz w:val="24"/>
                <w:szCs w:val="24"/>
              </w:rPr>
            </w:pPr>
            <w:r>
              <w:rPr>
                <w:rFonts w:ascii="宋体" w:hAnsi="宋体"/>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55"/>
              <w:widowControl w:val="0"/>
              <w:spacing w:line="360" w:lineRule="auto"/>
              <w:ind w:firstLine="480" w:firstLineChars="200"/>
              <w:rPr>
                <w:rFonts w:hint="default" w:ascii="宋体" w:hAnsi="宋体"/>
                <w:sz w:val="24"/>
                <w:szCs w:val="24"/>
              </w:rPr>
            </w:pPr>
            <w:r>
              <w:rPr>
                <w:rFonts w:ascii="宋体" w:hAnsi="宋体"/>
                <w:sz w:val="24"/>
                <w:szCs w:val="24"/>
              </w:rPr>
              <w:t>联系方法：</w:t>
            </w:r>
          </w:p>
        </w:tc>
        <w:tc>
          <w:tcPr>
            <w:tcW w:w="4153" w:type="dxa"/>
            <w:noWrap w:val="0"/>
            <w:vAlign w:val="top"/>
          </w:tcPr>
          <w:p>
            <w:pPr>
              <w:pStyle w:val="55"/>
              <w:widowControl w:val="0"/>
              <w:spacing w:line="360" w:lineRule="auto"/>
              <w:ind w:firstLine="480" w:firstLineChars="200"/>
              <w:rPr>
                <w:rFonts w:hint="default" w:ascii="宋体" w:hAnsi="宋体"/>
                <w:sz w:val="24"/>
                <w:szCs w:val="24"/>
              </w:rPr>
            </w:pPr>
            <w:r>
              <w:rPr>
                <w:rFonts w:ascii="宋体" w:hAnsi="宋体"/>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55"/>
              <w:widowControl w:val="0"/>
              <w:spacing w:line="360" w:lineRule="auto"/>
              <w:ind w:firstLine="480" w:firstLineChars="200"/>
              <w:rPr>
                <w:rFonts w:hint="default" w:ascii="宋体" w:hAnsi="宋体"/>
                <w:sz w:val="24"/>
                <w:szCs w:val="24"/>
              </w:rPr>
            </w:pPr>
            <w:r>
              <w:rPr>
                <w:rFonts w:ascii="宋体" w:hAnsi="宋体"/>
                <w:sz w:val="24"/>
                <w:szCs w:val="24"/>
              </w:rPr>
              <w:t>开户银行：</w:t>
            </w:r>
          </w:p>
        </w:tc>
        <w:tc>
          <w:tcPr>
            <w:tcW w:w="4153" w:type="dxa"/>
            <w:noWrap w:val="0"/>
            <w:vAlign w:val="top"/>
          </w:tcPr>
          <w:p>
            <w:pPr>
              <w:pStyle w:val="55"/>
              <w:widowControl w:val="0"/>
              <w:spacing w:line="360" w:lineRule="auto"/>
              <w:ind w:firstLine="480" w:firstLineChars="200"/>
              <w:rPr>
                <w:rFonts w:hint="default" w:ascii="宋体" w:hAnsi="宋体"/>
                <w:sz w:val="24"/>
                <w:szCs w:val="24"/>
              </w:rPr>
            </w:pPr>
            <w:r>
              <w:rPr>
                <w:rFonts w:ascii="宋体" w:hAnsi="宋体"/>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noWrap w:val="0"/>
            <w:vAlign w:val="top"/>
          </w:tcPr>
          <w:p>
            <w:pPr>
              <w:pStyle w:val="55"/>
              <w:widowControl w:val="0"/>
              <w:spacing w:line="360" w:lineRule="auto"/>
              <w:ind w:firstLine="480" w:firstLineChars="200"/>
              <w:rPr>
                <w:rFonts w:hint="default" w:ascii="宋体" w:hAnsi="宋体"/>
                <w:sz w:val="24"/>
                <w:szCs w:val="24"/>
              </w:rPr>
            </w:pPr>
            <w:r>
              <w:rPr>
                <w:rFonts w:ascii="宋体" w:hAnsi="宋体"/>
                <w:sz w:val="24"/>
                <w:szCs w:val="24"/>
              </w:rPr>
              <w:t>账号：</w:t>
            </w:r>
          </w:p>
        </w:tc>
        <w:tc>
          <w:tcPr>
            <w:tcW w:w="4153" w:type="dxa"/>
            <w:noWrap w:val="0"/>
            <w:vAlign w:val="top"/>
          </w:tcPr>
          <w:p>
            <w:pPr>
              <w:pStyle w:val="55"/>
              <w:widowControl w:val="0"/>
              <w:spacing w:line="360" w:lineRule="auto"/>
              <w:ind w:firstLine="480" w:firstLineChars="200"/>
              <w:rPr>
                <w:rFonts w:hint="default" w:ascii="宋体" w:hAnsi="宋体"/>
                <w:sz w:val="24"/>
                <w:szCs w:val="24"/>
              </w:rPr>
            </w:pPr>
            <w:r>
              <w:rPr>
                <w:rFonts w:ascii="宋体" w:hAnsi="宋体"/>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noWrap w:val="0"/>
            <w:vAlign w:val="top"/>
          </w:tcPr>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签订地点：</w:t>
            </w:r>
            <w:r>
              <w:rPr>
                <w:rFonts w:ascii="宋体" w:hAnsi="宋体"/>
                <w:sz w:val="24"/>
                <w:szCs w:val="24"/>
                <w:u w:val="single"/>
              </w:rPr>
              <w:t>　　　　　　　　　　</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签约日期：</w:t>
            </w:r>
            <w:r>
              <w:rPr>
                <w:rFonts w:ascii="宋体" w:hAnsi="宋体"/>
                <w:sz w:val="24"/>
                <w:szCs w:val="24"/>
                <w:u w:val="single"/>
              </w:rPr>
              <w:t>　　年　　月　　日</w:t>
            </w:r>
          </w:p>
        </w:tc>
      </w:tr>
    </w:tbl>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1.招标文件接受合同分包且投标人拟将合同分包的，应提供本协议；否则无须提供。</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2.本协议由委托代理人签字或盖章的，应按照本章载明的格式提供“单位授权书”。</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3.在以合同分包形式落实中小企业预留份额项目中，投标人除了要提供《中小企业声明函》，还需提供本协议。</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二-12其他资格证明文件（若有）</w:t>
      </w:r>
    </w:p>
    <w:p>
      <w:pPr>
        <w:pStyle w:val="55"/>
        <w:widowControl w:val="0"/>
        <w:spacing w:line="360" w:lineRule="auto"/>
        <w:jc w:val="center"/>
        <w:rPr>
          <w:rFonts w:hint="default" w:ascii="宋体" w:hAnsi="宋体"/>
          <w:sz w:val="24"/>
          <w:szCs w:val="24"/>
        </w:rPr>
      </w:pPr>
      <w:r>
        <w:rPr>
          <w:rFonts w:ascii="宋体" w:hAnsi="宋体"/>
          <w:b/>
          <w:sz w:val="24"/>
          <w:szCs w:val="24"/>
        </w:rPr>
        <w:t>二-12-①具备履行合同所必需设备和专业技术能力专项证明材料（若有）</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致：</w:t>
      </w:r>
      <w:r>
        <w:rPr>
          <w:rFonts w:ascii="宋体" w:hAnsi="宋体"/>
          <w:sz w:val="24"/>
          <w:szCs w:val="24"/>
          <w:u w:val="single"/>
        </w:rPr>
        <w:t>（采购人或采购代理机构）</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现附上我方具备履行合同所必需的设备和专业技术能力的专项证明材料复印件（具体附后），上述证明材料真实有效，否则我方负全部责任。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1、招标文件要求投标人提供“具备履行合同所必需的设备和专业技术能力专项证明材料”的，投标人应按照招标文件规定在此项下提供相应证明材料复印件。</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2、投标人提供的相应证明材料复印件均应符合：内容完整、清晰、整洁，并由投标人加盖其单位公章。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w:t>
      </w:r>
      <w:r>
        <w:rPr>
          <w:rFonts w:ascii="宋体" w:hAnsi="宋体"/>
          <w:sz w:val="24"/>
          <w:szCs w:val="24"/>
          <w:u w:val="single"/>
        </w:rPr>
        <w:t>（全称并加盖单位公章）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w:t>
      </w:r>
      <w:r>
        <w:rPr>
          <w:rFonts w:ascii="宋体" w:hAnsi="宋体"/>
          <w:sz w:val="24"/>
          <w:szCs w:val="24"/>
          <w:u w:val="single"/>
        </w:rPr>
        <w:t>　　年　　月　　日</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xml:space="preserve"> </w:t>
      </w:r>
    </w:p>
    <w:p>
      <w:pPr>
        <w:pStyle w:val="55"/>
        <w:widowControl w:val="0"/>
        <w:spacing w:line="360" w:lineRule="auto"/>
        <w:ind w:firstLine="480" w:firstLineChars="200"/>
        <w:rPr>
          <w:rFonts w:hint="default" w:ascii="宋体" w:hAnsi="宋体"/>
          <w:sz w:val="24"/>
          <w:szCs w:val="24"/>
        </w:rPr>
      </w:pPr>
    </w:p>
    <w:p>
      <w:pPr>
        <w:pStyle w:val="55"/>
        <w:widowControl w:val="0"/>
        <w:spacing w:line="360" w:lineRule="auto"/>
        <w:jc w:val="center"/>
        <w:rPr>
          <w:rFonts w:hint="default" w:ascii="宋体" w:hAnsi="宋体"/>
          <w:sz w:val="24"/>
          <w:szCs w:val="24"/>
        </w:rPr>
      </w:pPr>
      <w:r>
        <w:rPr>
          <w:rFonts w:ascii="宋体" w:hAnsi="宋体"/>
          <w:b/>
          <w:sz w:val="24"/>
          <w:szCs w:val="24"/>
        </w:rPr>
        <w:t>二-12-②招标文件规定的其他资格证明文件（若有）</w:t>
      </w:r>
    </w:p>
    <w:p>
      <w:pPr>
        <w:pStyle w:val="55"/>
        <w:widowControl w:val="0"/>
        <w:spacing w:line="360" w:lineRule="auto"/>
        <w:ind w:firstLine="480" w:firstLineChars="200"/>
        <w:jc w:val="center"/>
        <w:rPr>
          <w:rFonts w:hint="default" w:ascii="宋体" w:hAnsi="宋体"/>
          <w:sz w:val="24"/>
          <w:szCs w:val="24"/>
        </w:rPr>
      </w:pPr>
      <w:r>
        <w:rPr>
          <w:rFonts w:ascii="宋体" w:hAnsi="宋体"/>
          <w:sz w:val="24"/>
          <w:szCs w:val="24"/>
        </w:rPr>
        <w:t>编制说明</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除招标文件另有规定外，招标文件要求提交的除前述资格证明文件外的其他资格证明文件（若有）加盖投标人的单位公章后应在此项下提交。</w:t>
      </w:r>
    </w:p>
    <w:p>
      <w:pPr>
        <w:pStyle w:val="55"/>
        <w:widowControl w:val="0"/>
        <w:spacing w:line="360" w:lineRule="auto"/>
        <w:ind w:firstLine="480" w:firstLineChars="200"/>
        <w:rPr>
          <w:rFonts w:hint="default" w:ascii="宋体" w:hAnsi="宋体"/>
          <w:sz w:val="24"/>
          <w:szCs w:val="24"/>
        </w:rPr>
      </w:pPr>
    </w:p>
    <w:p>
      <w:pPr>
        <w:pStyle w:val="55"/>
        <w:widowControl w:val="0"/>
        <w:spacing w:line="360" w:lineRule="auto"/>
        <w:ind w:firstLine="480" w:firstLineChars="200"/>
        <w:rPr>
          <w:rFonts w:hint="default" w:ascii="宋体" w:hAnsi="宋体"/>
          <w:sz w:val="24"/>
          <w:szCs w:val="24"/>
        </w:r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三、投标保证金</w:t>
      </w:r>
    </w:p>
    <w:p>
      <w:pPr>
        <w:pStyle w:val="55"/>
        <w:widowControl w:val="0"/>
        <w:spacing w:line="360" w:lineRule="auto"/>
        <w:jc w:val="center"/>
        <w:rPr>
          <w:rFonts w:hint="default" w:ascii="宋体" w:hAnsi="宋体"/>
          <w:sz w:val="24"/>
          <w:szCs w:val="24"/>
        </w:rPr>
      </w:pPr>
      <w:r>
        <w:rPr>
          <w:rFonts w:ascii="宋体" w:hAnsi="宋体"/>
          <w:sz w:val="24"/>
          <w:szCs w:val="24"/>
        </w:rPr>
        <w:t>编制说明</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1、在此项下提交的“投标保证金”材料可使用转账凭证复印件或从福建省政府采购网上公开信息系统中下载的有关原始页面的打印件。</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2、投标保证金是否已提交的认定按照招标文件第三章规定执行。</w:t>
      </w:r>
    </w:p>
    <w:p>
      <w:pPr>
        <w:pStyle w:val="55"/>
        <w:widowControl w:val="0"/>
        <w:spacing w:line="360" w:lineRule="auto"/>
        <w:ind w:firstLine="480" w:firstLineChars="200"/>
        <w:rPr>
          <w:rFonts w:hint="default" w:ascii="宋体" w:hAnsi="宋体"/>
          <w:sz w:val="24"/>
          <w:szCs w:val="24"/>
        </w:rPr>
      </w:pP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jc w:val="center"/>
        <w:rPr>
          <w:rFonts w:hint="default" w:ascii="宋体" w:hAnsi="宋体"/>
          <w:sz w:val="32"/>
          <w:szCs w:val="32"/>
        </w:rPr>
      </w:pPr>
      <w:r>
        <w:rPr>
          <w:rFonts w:ascii="宋体" w:hAnsi="宋体"/>
          <w:b/>
          <w:sz w:val="32"/>
          <w:szCs w:val="32"/>
        </w:rPr>
        <w:t>封面格式（报价部分）</w:t>
      </w:r>
    </w:p>
    <w:p>
      <w:pPr>
        <w:pStyle w:val="55"/>
        <w:widowControl w:val="0"/>
        <w:spacing w:line="360" w:lineRule="auto"/>
        <w:jc w:val="center"/>
        <w:rPr>
          <w:rFonts w:hint="default" w:ascii="宋体" w:hAnsi="宋体"/>
          <w:sz w:val="32"/>
          <w:szCs w:val="32"/>
        </w:rPr>
      </w:pPr>
      <w:r>
        <w:rPr>
          <w:rFonts w:ascii="宋体" w:hAnsi="宋体"/>
          <w:b/>
          <w:sz w:val="32"/>
          <w:szCs w:val="32"/>
        </w:rPr>
        <w:t>福建省政府采购投标文件</w:t>
      </w:r>
    </w:p>
    <w:p>
      <w:pPr>
        <w:pStyle w:val="55"/>
        <w:widowControl w:val="0"/>
        <w:spacing w:line="360" w:lineRule="auto"/>
        <w:jc w:val="center"/>
        <w:rPr>
          <w:rFonts w:hint="default" w:ascii="宋体" w:hAnsi="宋体"/>
          <w:sz w:val="32"/>
          <w:szCs w:val="32"/>
        </w:rPr>
      </w:pPr>
      <w:r>
        <w:rPr>
          <w:rFonts w:ascii="宋体" w:hAnsi="宋体"/>
          <w:b/>
          <w:sz w:val="32"/>
          <w:szCs w:val="32"/>
        </w:rPr>
        <w:t>（报价部分）</w:t>
      </w:r>
    </w:p>
    <w:p>
      <w:pPr>
        <w:pStyle w:val="55"/>
        <w:widowControl w:val="0"/>
        <w:spacing w:line="360" w:lineRule="auto"/>
        <w:jc w:val="center"/>
        <w:rPr>
          <w:rFonts w:hint="default" w:ascii="宋体" w:hAnsi="宋体"/>
          <w:sz w:val="32"/>
          <w:szCs w:val="32"/>
        </w:rPr>
      </w:pPr>
    </w:p>
    <w:p>
      <w:pPr>
        <w:pStyle w:val="55"/>
        <w:widowControl w:val="0"/>
        <w:spacing w:line="360" w:lineRule="auto"/>
        <w:jc w:val="center"/>
        <w:rPr>
          <w:rFonts w:hint="default" w:ascii="宋体" w:hAnsi="宋体"/>
          <w:sz w:val="32"/>
          <w:szCs w:val="32"/>
        </w:rPr>
      </w:pPr>
      <w:r>
        <w:rPr>
          <w:rFonts w:ascii="宋体" w:hAnsi="宋体"/>
          <w:b/>
          <w:sz w:val="32"/>
          <w:szCs w:val="32"/>
        </w:rPr>
        <w:t>（填写正本或副本）</w:t>
      </w:r>
    </w:p>
    <w:p>
      <w:pPr>
        <w:pStyle w:val="55"/>
        <w:widowControl w:val="0"/>
        <w:spacing w:line="360" w:lineRule="auto"/>
        <w:jc w:val="center"/>
        <w:rPr>
          <w:rFonts w:hint="default" w:ascii="宋体" w:hAnsi="宋体"/>
          <w:sz w:val="32"/>
          <w:szCs w:val="32"/>
        </w:rPr>
      </w:pP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（项目名称：（由投标人填写）</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（备案编号：（由投标人填写）</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（项目编号：（由投标人填写）</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（所投采购包：（由投标人填写）</w:t>
      </w:r>
    </w:p>
    <w:p>
      <w:pPr>
        <w:pStyle w:val="55"/>
        <w:widowControl w:val="0"/>
        <w:spacing w:line="360" w:lineRule="auto"/>
        <w:ind w:firstLine="640" w:firstLineChars="200"/>
        <w:jc w:val="center"/>
        <w:rPr>
          <w:rFonts w:hint="default" w:ascii="宋体" w:hAnsi="宋体"/>
          <w:sz w:val="32"/>
          <w:szCs w:val="32"/>
        </w:rPr>
      </w:pP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投标人：（填写“全称”）</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（由投标人填写）年（由投标人填写）月</w:t>
      </w: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p>
    <w:p>
      <w:pPr>
        <w:pStyle w:val="55"/>
        <w:widowControl w:val="0"/>
        <w:spacing w:line="360" w:lineRule="auto"/>
        <w:jc w:val="center"/>
        <w:rPr>
          <w:rFonts w:hint="default" w:ascii="宋体" w:hAnsi="宋体"/>
          <w:sz w:val="24"/>
          <w:szCs w:val="24"/>
        </w:rPr>
      </w:pPr>
      <w:r>
        <w:rPr>
          <w:rFonts w:ascii="宋体" w:hAnsi="宋体"/>
          <w:b/>
          <w:sz w:val="24"/>
          <w:szCs w:val="24"/>
        </w:rPr>
        <w:t>索引</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一、开标一览表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二、投标分项报价表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三、招标文件规定的价格扣除证明材料（若有）</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四、招标文件规定的加分证明材料（若有）</w:t>
      </w:r>
    </w:p>
    <w:p>
      <w:pPr>
        <w:pStyle w:val="55"/>
        <w:widowControl w:val="0"/>
        <w:spacing w:line="360" w:lineRule="auto"/>
        <w:ind w:firstLine="480" w:firstLineChars="200"/>
        <w:rPr>
          <w:rFonts w:hint="default" w:ascii="宋体" w:hAnsi="宋体"/>
          <w:sz w:val="24"/>
          <w:szCs w:val="24"/>
        </w:rPr>
      </w:pP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一、开标一览表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项目编号：　　　　　　　　</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货币及单位：人民币元</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60"/>
        <w:gridCol w:w="2692"/>
        <w:gridCol w:w="2076"/>
        <w:gridCol w:w="24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60"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采购包</w:t>
            </w:r>
          </w:p>
        </w:tc>
        <w:tc>
          <w:tcPr>
            <w:tcW w:w="2692"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投标报价</w:t>
            </w:r>
          </w:p>
        </w:tc>
        <w:tc>
          <w:tcPr>
            <w:tcW w:w="2076"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投标保证金</w:t>
            </w:r>
          </w:p>
        </w:tc>
        <w:tc>
          <w:tcPr>
            <w:tcW w:w="246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38" w:hRule="atLeast"/>
          <w:jc w:val="center"/>
        </w:trPr>
        <w:tc>
          <w:tcPr>
            <w:tcW w:w="1460"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2692"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投标总价（大写金额）：</w:t>
            </w:r>
          </w:p>
        </w:tc>
        <w:tc>
          <w:tcPr>
            <w:tcW w:w="2076" w:type="dxa"/>
            <w:noWrap w:val="0"/>
            <w:vAlign w:val="center"/>
          </w:tcPr>
          <w:p>
            <w:pPr>
              <w:spacing w:line="360" w:lineRule="auto"/>
              <w:jc w:val="center"/>
              <w:rPr>
                <w:rFonts w:ascii="宋体" w:hAnsi="宋体"/>
                <w:sz w:val="24"/>
                <w:szCs w:val="24"/>
              </w:rPr>
            </w:pPr>
          </w:p>
        </w:tc>
        <w:tc>
          <w:tcPr>
            <w:tcW w:w="2461" w:type="dxa"/>
            <w:vMerge w:val="restart"/>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a.&gt;投标报价的明细：详见《投标分项报价表》。</w:t>
            </w:r>
          </w:p>
          <w:p>
            <w:pPr>
              <w:pStyle w:val="55"/>
              <w:widowControl w:val="0"/>
              <w:spacing w:line="360" w:lineRule="auto"/>
              <w:jc w:val="center"/>
              <w:rPr>
                <w:rFonts w:hint="default" w:ascii="宋体" w:hAnsi="宋体"/>
                <w:sz w:val="24"/>
                <w:szCs w:val="24"/>
              </w:rPr>
            </w:pPr>
            <w:r>
              <w:rPr>
                <w:rFonts w:ascii="宋体" w:hAnsi="宋体"/>
                <w:sz w:val="24"/>
                <w:szCs w:val="24"/>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38" w:hRule="atLeast"/>
          <w:jc w:val="center"/>
        </w:trPr>
        <w:tc>
          <w:tcPr>
            <w:tcW w:w="1460"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2692"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投标总价（大写金额）：</w:t>
            </w:r>
          </w:p>
        </w:tc>
        <w:tc>
          <w:tcPr>
            <w:tcW w:w="2076" w:type="dxa"/>
            <w:noWrap w:val="0"/>
            <w:vAlign w:val="center"/>
          </w:tcPr>
          <w:p>
            <w:pPr>
              <w:spacing w:line="360" w:lineRule="auto"/>
              <w:jc w:val="center"/>
              <w:rPr>
                <w:rFonts w:ascii="宋体" w:hAnsi="宋体"/>
                <w:sz w:val="24"/>
                <w:szCs w:val="24"/>
              </w:rPr>
            </w:pPr>
          </w:p>
        </w:tc>
        <w:tc>
          <w:tcPr>
            <w:tcW w:w="2461" w:type="dxa"/>
            <w:vMerge w:val="continue"/>
            <w:noWrap w:val="0"/>
            <w:vAlign w:val="center"/>
          </w:tcPr>
          <w:p>
            <w:pPr>
              <w:spacing w:line="360" w:lineRule="auto"/>
              <w:jc w:val="center"/>
              <w:rPr>
                <w:rFonts w:ascii="宋体" w:hAnsi="宋体"/>
                <w:sz w:val="24"/>
                <w:szCs w:val="24"/>
              </w:rPr>
            </w:pPr>
          </w:p>
        </w:tc>
      </w:tr>
    </w:tbl>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1、本表应按照下列规定填写：</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1.1投标人应按照本表格式填写所投的采购包的“投标报价”。</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1.2本表中列示的“采购包”应与《投标分项报价表》中列示的“采购包”保持一致，即：若本表中列示的“采购包”为“1”时，《投标分项报价表》中列示的“采购包”亦应为“1”，以此类推。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1.3“大写金额”指“投标报价”应用“壹、贰、叁、肆、伍、陆、柒、捌、玖、拾、佰、仟、万、亿、元、角、分、零”等进行填写。</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　　年　　月　　日</w:t>
      </w: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p>
    <w:p>
      <w:pPr>
        <w:pStyle w:val="55"/>
        <w:widowControl w:val="0"/>
        <w:spacing w:line="360" w:lineRule="auto"/>
        <w:ind w:firstLine="482" w:firstLineChars="200"/>
        <w:jc w:val="center"/>
        <w:rPr>
          <w:rFonts w:hint="default" w:ascii="宋体" w:hAnsi="宋体"/>
          <w:sz w:val="24"/>
          <w:szCs w:val="24"/>
        </w:rPr>
      </w:pPr>
      <w:r>
        <w:rPr>
          <w:rFonts w:ascii="宋体" w:hAnsi="宋体"/>
          <w:b/>
          <w:sz w:val="24"/>
          <w:szCs w:val="24"/>
        </w:rPr>
        <w:t>二、投标分项报价表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项目编号：　　　　　　　　</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货币及单位：人民币元</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3"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采购包</w:t>
            </w:r>
          </w:p>
        </w:tc>
        <w:tc>
          <w:tcPr>
            <w:tcW w:w="923"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品目号</w:t>
            </w:r>
          </w:p>
        </w:tc>
        <w:tc>
          <w:tcPr>
            <w:tcW w:w="923"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投标标的</w:t>
            </w:r>
          </w:p>
        </w:tc>
        <w:tc>
          <w:tcPr>
            <w:tcW w:w="923"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规格</w:t>
            </w:r>
          </w:p>
        </w:tc>
        <w:tc>
          <w:tcPr>
            <w:tcW w:w="923"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来源地</w:t>
            </w:r>
          </w:p>
        </w:tc>
        <w:tc>
          <w:tcPr>
            <w:tcW w:w="923"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单价（现场）</w:t>
            </w:r>
          </w:p>
        </w:tc>
        <w:tc>
          <w:tcPr>
            <w:tcW w:w="923"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数量</w:t>
            </w:r>
          </w:p>
        </w:tc>
        <w:tc>
          <w:tcPr>
            <w:tcW w:w="923"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总价（现场）</w:t>
            </w:r>
          </w:p>
        </w:tc>
        <w:tc>
          <w:tcPr>
            <w:tcW w:w="923"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3" w:type="dxa"/>
            <w:vMerge w:val="restart"/>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923"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w:t>
            </w: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3" w:type="dxa"/>
            <w:vMerge w:val="continue"/>
            <w:noWrap w:val="0"/>
            <w:vAlign w:val="center"/>
          </w:tcPr>
          <w:p>
            <w:pPr>
              <w:spacing w:line="360" w:lineRule="auto"/>
              <w:jc w:val="center"/>
              <w:rPr>
                <w:rFonts w:ascii="宋体" w:hAnsi="宋体"/>
                <w:sz w:val="24"/>
                <w:szCs w:val="24"/>
              </w:rPr>
            </w:pPr>
          </w:p>
        </w:tc>
        <w:tc>
          <w:tcPr>
            <w:tcW w:w="923"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3"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c>
          <w:tcPr>
            <w:tcW w:w="923" w:type="dxa"/>
            <w:noWrap w:val="0"/>
            <w:vAlign w:val="center"/>
          </w:tcPr>
          <w:p>
            <w:pPr>
              <w:spacing w:line="360" w:lineRule="auto"/>
              <w:jc w:val="center"/>
              <w:rPr>
                <w:rFonts w:ascii="宋体" w:hAnsi="宋体"/>
                <w:sz w:val="24"/>
                <w:szCs w:val="24"/>
              </w:rPr>
            </w:pPr>
          </w:p>
        </w:tc>
      </w:tr>
    </w:tbl>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1、本表应按照下列规定填写：</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1.2“投标标的”为货物的：“规格”项下应填写货物制造厂商赋予的品牌（属于节能、环保清单产品的货物，填写的品牌名称应与清单载明的品牌名称保持一致）及具体型号。“来源地”应填写货物的原产地。</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1.3“投标标的”为服务的：“规格”项下应填写服务提供者提供的服务标准及品牌（若有）。“来源地”应填写服务提供者的所在地。</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1.4同一采购包中，“单价（现场）”×“数量”=“总价（现场）”，全部品目号“总价（现场）”的合计金额应与《开标一览表》中相应采购包列示的“投标总价”保持一致。</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1.5若招标文件要求投标人对“备品备件价格、专用工具价格、技术服务费、安装调试费、检验培训费、运输费、保险费、税收”等进行报价的，请在本表的“备注”项下填写。</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　　年　　月　　日</w:t>
      </w:r>
    </w:p>
    <w:p>
      <w:pPr>
        <w:pStyle w:val="55"/>
        <w:widowControl w:val="0"/>
        <w:spacing w:line="360" w:lineRule="auto"/>
        <w:rPr>
          <w:rFonts w:hint="default" w:ascii="宋体" w:hAnsi="宋体"/>
          <w:sz w:val="24"/>
          <w:szCs w:val="24"/>
        </w:rPr>
      </w:pPr>
    </w:p>
    <w:p>
      <w:pPr>
        <w:pStyle w:val="55"/>
        <w:widowControl w:val="0"/>
        <w:spacing w:line="360" w:lineRule="auto"/>
        <w:jc w:val="center"/>
        <w:rPr>
          <w:rFonts w:hint="default" w:ascii="宋体" w:hAnsi="宋体"/>
          <w:sz w:val="24"/>
          <w:szCs w:val="24"/>
        </w:rPr>
      </w:pPr>
      <w:r>
        <w:rPr>
          <w:rFonts w:ascii="宋体" w:hAnsi="宋体"/>
          <w:b/>
          <w:sz w:val="24"/>
          <w:szCs w:val="24"/>
        </w:rPr>
        <w:t>三、招标文件规定的价格扣除证明材料（若有）</w:t>
      </w:r>
    </w:p>
    <w:p>
      <w:pPr>
        <w:pStyle w:val="55"/>
        <w:widowControl w:val="0"/>
        <w:spacing w:line="360" w:lineRule="auto"/>
        <w:jc w:val="center"/>
        <w:rPr>
          <w:rFonts w:hint="default" w:ascii="宋体" w:hAnsi="宋体"/>
          <w:sz w:val="24"/>
          <w:szCs w:val="24"/>
        </w:rPr>
      </w:pPr>
      <w:r>
        <w:rPr>
          <w:rFonts w:ascii="宋体" w:hAnsi="宋体"/>
          <w:b/>
          <w:sz w:val="24"/>
          <w:szCs w:val="24"/>
        </w:rPr>
        <w:t>三-1优先类节能产品、环境标志产品价格扣除证明材料（若有）</w:t>
      </w:r>
    </w:p>
    <w:p>
      <w:pPr>
        <w:pStyle w:val="55"/>
        <w:widowControl w:val="0"/>
        <w:spacing w:line="360" w:lineRule="auto"/>
        <w:jc w:val="center"/>
        <w:rPr>
          <w:rFonts w:hint="default" w:ascii="宋体" w:hAnsi="宋体"/>
          <w:sz w:val="24"/>
          <w:szCs w:val="24"/>
        </w:rPr>
      </w:pPr>
      <w:r>
        <w:rPr>
          <w:rFonts w:ascii="宋体" w:hAnsi="宋体"/>
          <w:b/>
          <w:sz w:val="24"/>
          <w:szCs w:val="24"/>
        </w:rPr>
        <w:t>三-1-①优先类节能产品、环境标志产品统计表（价格扣除适用，若有）</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项目编号：　　　　　　　　</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货币及单位：人民币元</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noWrap w:val="0"/>
            <w:vAlign w:val="center"/>
          </w:tcPr>
          <w:p>
            <w:pPr>
              <w:spacing w:line="360" w:lineRule="auto"/>
              <w:jc w:val="center"/>
              <w:rPr>
                <w:rFonts w:ascii="宋体" w:hAnsi="宋体"/>
                <w:sz w:val="24"/>
                <w:szCs w:val="24"/>
              </w:rPr>
            </w:pPr>
          </w:p>
        </w:tc>
        <w:tc>
          <w:tcPr>
            <w:tcW w:w="7122" w:type="dxa"/>
            <w:gridSpan w:val="6"/>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采购包</w:t>
            </w:r>
          </w:p>
        </w:tc>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品目号</w:t>
            </w:r>
          </w:p>
        </w:tc>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货物名称</w:t>
            </w:r>
          </w:p>
        </w:tc>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单价（现场）</w:t>
            </w:r>
          </w:p>
        </w:tc>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数量</w:t>
            </w:r>
          </w:p>
        </w:tc>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总价（现场）</w:t>
            </w:r>
          </w:p>
        </w:tc>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w:t>
            </w:r>
          </w:p>
        </w:tc>
        <w:tc>
          <w:tcPr>
            <w:tcW w:w="1187" w:type="dxa"/>
            <w:noWrap w:val="0"/>
            <w:vAlign w:val="center"/>
          </w:tcPr>
          <w:p>
            <w:pPr>
              <w:spacing w:line="360" w:lineRule="auto"/>
              <w:jc w:val="center"/>
              <w:rPr>
                <w:rFonts w:ascii="宋体" w:hAnsi="宋体"/>
                <w:sz w:val="24"/>
                <w:szCs w:val="24"/>
              </w:rPr>
            </w:pPr>
          </w:p>
        </w:tc>
        <w:tc>
          <w:tcPr>
            <w:tcW w:w="1187" w:type="dxa"/>
            <w:noWrap w:val="0"/>
            <w:vAlign w:val="center"/>
          </w:tcPr>
          <w:p>
            <w:pPr>
              <w:spacing w:line="360" w:lineRule="auto"/>
              <w:jc w:val="center"/>
              <w:rPr>
                <w:rFonts w:ascii="宋体" w:hAnsi="宋体"/>
                <w:sz w:val="24"/>
                <w:szCs w:val="24"/>
              </w:rPr>
            </w:pPr>
          </w:p>
        </w:tc>
        <w:tc>
          <w:tcPr>
            <w:tcW w:w="1187" w:type="dxa"/>
            <w:noWrap w:val="0"/>
            <w:vAlign w:val="center"/>
          </w:tcPr>
          <w:p>
            <w:pPr>
              <w:spacing w:line="360" w:lineRule="auto"/>
              <w:jc w:val="center"/>
              <w:rPr>
                <w:rFonts w:ascii="宋体" w:hAnsi="宋体"/>
                <w:sz w:val="24"/>
                <w:szCs w:val="24"/>
              </w:rPr>
            </w:pPr>
          </w:p>
        </w:tc>
        <w:tc>
          <w:tcPr>
            <w:tcW w:w="1187" w:type="dxa"/>
            <w:noWrap w:val="0"/>
            <w:vAlign w:val="center"/>
          </w:tcPr>
          <w:p>
            <w:pPr>
              <w:spacing w:line="360" w:lineRule="auto"/>
              <w:jc w:val="center"/>
              <w:rPr>
                <w:rFonts w:ascii="宋体" w:hAnsi="宋体"/>
                <w:sz w:val="24"/>
                <w:szCs w:val="24"/>
              </w:rPr>
            </w:pPr>
          </w:p>
        </w:tc>
        <w:tc>
          <w:tcPr>
            <w:tcW w:w="1187" w:type="dxa"/>
            <w:noWrap w:val="0"/>
            <w:vAlign w:val="center"/>
          </w:tcPr>
          <w:p>
            <w:pPr>
              <w:spacing w:line="360" w:lineRule="auto"/>
              <w:jc w:val="center"/>
              <w:rPr>
                <w:rFonts w:ascii="宋体" w:hAnsi="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noWrap w:val="0"/>
            <w:vAlign w:val="center"/>
          </w:tcPr>
          <w:p>
            <w:pPr>
              <w:spacing w:line="360" w:lineRule="auto"/>
              <w:jc w:val="center"/>
              <w:rPr>
                <w:rFonts w:ascii="宋体" w:hAnsi="宋体"/>
                <w:sz w:val="24"/>
                <w:szCs w:val="24"/>
              </w:rPr>
            </w:pPr>
          </w:p>
        </w:tc>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1187" w:type="dxa"/>
            <w:noWrap w:val="0"/>
            <w:vAlign w:val="center"/>
          </w:tcPr>
          <w:p>
            <w:pPr>
              <w:spacing w:line="360" w:lineRule="auto"/>
              <w:jc w:val="center"/>
              <w:rPr>
                <w:rFonts w:ascii="宋体" w:hAnsi="宋体"/>
                <w:sz w:val="24"/>
                <w:szCs w:val="24"/>
              </w:rPr>
            </w:pPr>
          </w:p>
        </w:tc>
        <w:tc>
          <w:tcPr>
            <w:tcW w:w="1187" w:type="dxa"/>
            <w:noWrap w:val="0"/>
            <w:vAlign w:val="center"/>
          </w:tcPr>
          <w:p>
            <w:pPr>
              <w:spacing w:line="360" w:lineRule="auto"/>
              <w:jc w:val="center"/>
              <w:rPr>
                <w:rFonts w:ascii="宋体" w:hAnsi="宋体"/>
                <w:sz w:val="24"/>
                <w:szCs w:val="24"/>
              </w:rPr>
            </w:pPr>
          </w:p>
        </w:tc>
        <w:tc>
          <w:tcPr>
            <w:tcW w:w="1187" w:type="dxa"/>
            <w:noWrap w:val="0"/>
            <w:vAlign w:val="center"/>
          </w:tcPr>
          <w:p>
            <w:pPr>
              <w:spacing w:line="360" w:lineRule="auto"/>
              <w:jc w:val="center"/>
              <w:rPr>
                <w:rFonts w:ascii="宋体" w:hAnsi="宋体"/>
                <w:sz w:val="24"/>
                <w:szCs w:val="24"/>
              </w:rPr>
            </w:pPr>
          </w:p>
        </w:tc>
        <w:tc>
          <w:tcPr>
            <w:tcW w:w="1187" w:type="dxa"/>
            <w:noWrap w:val="0"/>
            <w:vAlign w:val="center"/>
          </w:tcPr>
          <w:p>
            <w:pPr>
              <w:spacing w:line="360" w:lineRule="auto"/>
              <w:jc w:val="center"/>
              <w:rPr>
                <w:rFonts w:ascii="宋体" w:hAnsi="宋体"/>
                <w:sz w:val="24"/>
                <w:szCs w:val="24"/>
              </w:rPr>
            </w:pPr>
          </w:p>
        </w:tc>
        <w:tc>
          <w:tcPr>
            <w:tcW w:w="1187" w:type="dxa"/>
            <w:noWrap w:val="0"/>
            <w:vAlign w:val="center"/>
          </w:tcPr>
          <w:p>
            <w:pPr>
              <w:spacing w:line="360" w:lineRule="auto"/>
              <w:jc w:val="center"/>
              <w:rPr>
                <w:rFonts w:ascii="宋体" w:hAnsi="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备注</w:t>
            </w:r>
          </w:p>
        </w:tc>
        <w:tc>
          <w:tcPr>
            <w:tcW w:w="7122" w:type="dxa"/>
            <w:gridSpan w:val="6"/>
            <w:noWrap w:val="0"/>
            <w:vAlign w:val="center"/>
          </w:tcPr>
          <w:p>
            <w:pPr>
              <w:pStyle w:val="55"/>
              <w:widowControl w:val="0"/>
              <w:spacing w:line="360" w:lineRule="auto"/>
              <w:jc w:val="both"/>
              <w:rPr>
                <w:rFonts w:hint="default" w:ascii="宋体" w:hAnsi="宋体"/>
                <w:sz w:val="24"/>
                <w:szCs w:val="24"/>
              </w:rPr>
            </w:pPr>
            <w:r>
              <w:rPr>
                <w:rFonts w:ascii="宋体" w:hAnsi="宋体"/>
                <w:sz w:val="24"/>
                <w:szCs w:val="24"/>
              </w:rPr>
              <w:t>a.采购包内属于节能、环境标志产品的报价总金额：　　　　　；</w:t>
            </w:r>
          </w:p>
          <w:p>
            <w:pPr>
              <w:pStyle w:val="55"/>
              <w:widowControl w:val="0"/>
              <w:spacing w:line="360" w:lineRule="auto"/>
              <w:jc w:val="both"/>
              <w:rPr>
                <w:rFonts w:hint="default" w:ascii="宋体" w:hAnsi="宋体"/>
                <w:sz w:val="24"/>
                <w:szCs w:val="24"/>
              </w:rPr>
            </w:pPr>
            <w:r>
              <w:rPr>
                <w:rFonts w:ascii="宋体" w:hAnsi="宋体"/>
                <w:sz w:val="24"/>
                <w:szCs w:val="24"/>
              </w:rPr>
              <w:t>b.采购包投标总价（报价总金额）：　　　　　；</w:t>
            </w:r>
          </w:p>
          <w:p>
            <w:pPr>
              <w:pStyle w:val="55"/>
              <w:widowControl w:val="0"/>
              <w:spacing w:line="360" w:lineRule="auto"/>
              <w:jc w:val="both"/>
              <w:rPr>
                <w:rFonts w:hint="default" w:ascii="宋体" w:hAnsi="宋体"/>
                <w:sz w:val="24"/>
                <w:szCs w:val="24"/>
              </w:rPr>
            </w:pPr>
            <w:r>
              <w:rPr>
                <w:rFonts w:ascii="宋体" w:hAnsi="宋体"/>
                <w:sz w:val="24"/>
                <w:szCs w:val="24"/>
              </w:rPr>
              <w:t>c.“采购包内属于节能、环境标志产品的报价总金额”占“采购包投标总价（报价总金额）”的比例（以%列示）：　　　　　；</w:t>
            </w:r>
          </w:p>
        </w:tc>
      </w:tr>
    </w:tbl>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1、对节能、环境标志产品计算价格扣除时，只依据电子投标文件“三-1-②优先类节能产品、环境标志产品证明材料（价格扣除适用，若有）”。</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2、本表以采购包为单位，不同采购包请分别填写；同一采购包请按照其品目号顺序分别填写。</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3、具体统计、计算：</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3.2计算结果若除不尽，可四舍五入保留到小数点后两位。</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3.3投标人应按照招标文件要求认真统计、计算，否则评标委员会不予认定。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3.4若无节能、环境标志产品，不填写本表，否则，视为提供虚假材料。</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　　年　　月　　日</w:t>
      </w: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三-1-②优先类节能产品、环境标志产品证明材料（价格扣除适用，若有）</w:t>
      </w:r>
    </w:p>
    <w:p>
      <w:pPr>
        <w:pStyle w:val="55"/>
        <w:widowControl w:val="0"/>
        <w:spacing w:line="360" w:lineRule="auto"/>
        <w:jc w:val="center"/>
        <w:rPr>
          <w:rFonts w:hint="default" w:ascii="宋体" w:hAnsi="宋体"/>
          <w:sz w:val="24"/>
          <w:szCs w:val="24"/>
        </w:rPr>
      </w:pPr>
      <w:r>
        <w:rPr>
          <w:rFonts w:ascii="宋体" w:hAnsi="宋体"/>
          <w:b/>
          <w:sz w:val="24"/>
          <w:szCs w:val="24"/>
        </w:rPr>
        <w:t>三-2小型、微型企业产品等价格扣除证明材料（若有）</w:t>
      </w:r>
    </w:p>
    <w:p>
      <w:pPr>
        <w:pStyle w:val="55"/>
        <w:widowControl w:val="0"/>
        <w:spacing w:line="360" w:lineRule="auto"/>
        <w:jc w:val="center"/>
        <w:rPr>
          <w:rFonts w:hint="default" w:ascii="宋体" w:hAnsi="宋体"/>
          <w:sz w:val="24"/>
          <w:szCs w:val="24"/>
        </w:rPr>
      </w:pPr>
      <w:r>
        <w:rPr>
          <w:rFonts w:ascii="宋体" w:hAnsi="宋体"/>
          <w:b/>
          <w:sz w:val="24"/>
          <w:szCs w:val="24"/>
        </w:rPr>
        <w:t>三-2-①中小企业声明函（价格扣除适用，若有）</w:t>
      </w:r>
    </w:p>
    <w:p>
      <w:pPr>
        <w:pStyle w:val="55"/>
        <w:widowControl w:val="0"/>
        <w:spacing w:line="360" w:lineRule="auto"/>
        <w:jc w:val="center"/>
        <w:rPr>
          <w:rFonts w:hint="default" w:ascii="宋体" w:hAnsi="宋体"/>
          <w:sz w:val="24"/>
          <w:szCs w:val="24"/>
        </w:rPr>
      </w:pPr>
      <w:r>
        <w:rPr>
          <w:rFonts w:ascii="宋体" w:hAnsi="宋体"/>
          <w:b/>
          <w:sz w:val="24"/>
          <w:szCs w:val="24"/>
        </w:rPr>
        <w:t>中小企业声明函（货物）</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本公司（联合体）郑重声明，根据《政府采购促进中小企业发展管理办法》（财库﹝2020﹞46</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1.（标的名称），属于（采购文件中明确的所属行业）行业；制造商为（企业名称），从业人员　　　　　人，营业收入为　　　　　万元，资产总额为　　　　　万元</w:t>
      </w:r>
      <w:r>
        <w:rPr>
          <w:rFonts w:ascii="宋体" w:hAnsi="宋体" w:cs="宋体"/>
          <w:sz w:val="24"/>
          <w:szCs w:val="24"/>
          <w:vertAlign w:val="superscript"/>
        </w:rPr>
        <w:t>1</w:t>
      </w:r>
      <w:r>
        <w:rPr>
          <w:rFonts w:ascii="宋体" w:hAnsi="宋体"/>
          <w:sz w:val="24"/>
          <w:szCs w:val="24"/>
        </w:rPr>
        <w:t>，属于（中型企业、小型企业、微型企业）；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2.（标的名称），属于（采购文件中明确的所属行业）行业；制造商为（企业名称），从业人员　　　　　人，营业收入为　　　　　万元，资产总额为　　　　　万元，属于（中型企业、小型企业、微型企业）；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以上企业，不属于大企业的分支机构，不存在控股股东为大企业的情形，也不存在与大企业的负责人为同一人的情形。</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本企业对上述声明内容的真实性负责。如有虚假，将依法承担相应责任。</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　　年　　月　　日</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1、从业人员、营业收入、资产总额填报上一年度数据，无上一年度数据的新成立企业可不填报。</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5"/>
        <w:widowControl w:val="0"/>
        <w:spacing w:line="360" w:lineRule="auto"/>
        <w:jc w:val="center"/>
        <w:rPr>
          <w:rFonts w:hint="default" w:ascii="宋体" w:hAnsi="宋体"/>
          <w:sz w:val="24"/>
          <w:szCs w:val="24"/>
        </w:rPr>
      </w:pPr>
      <w:r>
        <w:rPr>
          <w:rFonts w:ascii="宋体" w:hAnsi="宋体"/>
          <w:b/>
          <w:sz w:val="24"/>
          <w:szCs w:val="24"/>
        </w:rPr>
        <w:t>中小企业声明函（工程、服务）</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本公司（联合体）郑重声明，根据《政府采购促进中小企业发展管理办法》（财库﹝2020﹞46</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1.（标的名称），属于（采购文件中明确的所属行业）；承建（承接）企业为（企业名称），从业人员　　　　　人，营业收入为　　　　　万元，资产总额为　　　　　万元</w:t>
      </w:r>
      <w:r>
        <w:rPr>
          <w:rFonts w:ascii="宋体" w:hAnsi="宋体" w:cs="宋体"/>
          <w:sz w:val="24"/>
          <w:szCs w:val="24"/>
          <w:vertAlign w:val="superscript"/>
        </w:rPr>
        <w:t>1</w:t>
      </w:r>
      <w:r>
        <w:rPr>
          <w:rFonts w:ascii="宋体" w:hAnsi="宋体"/>
          <w:sz w:val="24"/>
          <w:szCs w:val="24"/>
        </w:rPr>
        <w:t>，属于（中型企业、小型企业、微型企业）；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2.（标的名称），属于（采购文件中明确的所属行业）；承建（承接）企业为（企业名称），从业人员　　　　　人，营业收入为　　　　　万元，资产总额为　　　　　万元，属于（中型企业、小型企业、微型企业）；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以上企业，不属于大企业的分支机构，不存在控股股东为大企业的情形，也不存在与大企业的负责人为同一人的情形。</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本企业对上述声明内容的真实性负责。如有虚假，将依法承担相应责任。</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　　年　　月　　日</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1、从业人员、营业收入、资产总额填报上一年度数据，无上一年度数据的新成立企业可不填报。</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55"/>
        <w:widowControl w:val="0"/>
        <w:spacing w:line="360" w:lineRule="auto"/>
        <w:jc w:val="center"/>
        <w:rPr>
          <w:rFonts w:hint="default" w:ascii="宋体" w:hAnsi="宋体"/>
          <w:sz w:val="24"/>
          <w:szCs w:val="24"/>
        </w:rPr>
      </w:pPr>
      <w:r>
        <w:rPr>
          <w:rFonts w:ascii="宋体" w:hAnsi="宋体"/>
          <w:b/>
          <w:sz w:val="24"/>
          <w:szCs w:val="24"/>
        </w:rPr>
        <w:t>三-2-②小型、微型企业等证明材料（价格扣除适用，若有）</w:t>
      </w:r>
    </w:p>
    <w:p>
      <w:pPr>
        <w:pStyle w:val="55"/>
        <w:widowControl w:val="0"/>
        <w:spacing w:line="360" w:lineRule="auto"/>
        <w:jc w:val="center"/>
        <w:rPr>
          <w:rFonts w:hint="default" w:ascii="宋体" w:hAnsi="宋体"/>
          <w:sz w:val="24"/>
          <w:szCs w:val="24"/>
        </w:rPr>
      </w:pPr>
      <w:r>
        <w:rPr>
          <w:rFonts w:ascii="宋体" w:hAnsi="宋体"/>
          <w:sz w:val="24"/>
          <w:szCs w:val="24"/>
        </w:rPr>
        <w:t>编制说明</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1、投标人应按照招标文件要求提供相应证明材料，证明材料应与《中小企业声明函》的内容相一致，否则视为《中小企业声明函》内容不真实。</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2、投标人为监狱企业的，根据其提供的由省级以上监狱管理局、戒毒管理局（含新疆生产建设兵团）出具的属于监狱企业的证明文件进行认定，监狱企业视同小型、微型企业。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pStyle w:val="55"/>
        <w:widowControl w:val="0"/>
        <w:spacing w:line="360" w:lineRule="auto"/>
        <w:rPr>
          <w:rFonts w:hint="default" w:ascii="宋体" w:hAnsi="宋体"/>
          <w:sz w:val="24"/>
          <w:szCs w:val="24"/>
        </w:rPr>
      </w:pPr>
    </w:p>
    <w:p>
      <w:pPr>
        <w:pStyle w:val="55"/>
        <w:widowControl w:val="0"/>
        <w:spacing w:line="360" w:lineRule="auto"/>
        <w:rPr>
          <w:rFonts w:hint="default" w:ascii="宋体" w:hAnsi="宋体"/>
          <w:sz w:val="24"/>
          <w:szCs w:val="24"/>
        </w:rPr>
      </w:pPr>
      <w:r>
        <w:rPr>
          <w:rFonts w:ascii="宋体" w:hAnsi="宋体"/>
          <w:sz w:val="24"/>
          <w:szCs w:val="24"/>
        </w:rPr>
        <w:t>附：</w:t>
      </w:r>
    </w:p>
    <w:p>
      <w:pPr>
        <w:pStyle w:val="55"/>
        <w:widowControl w:val="0"/>
        <w:spacing w:line="360" w:lineRule="auto"/>
        <w:ind w:firstLine="482" w:firstLineChars="200"/>
        <w:jc w:val="center"/>
        <w:rPr>
          <w:rFonts w:hint="default" w:ascii="宋体" w:hAnsi="宋体"/>
          <w:sz w:val="24"/>
          <w:szCs w:val="24"/>
        </w:rPr>
      </w:pPr>
      <w:r>
        <w:rPr>
          <w:rFonts w:ascii="宋体" w:hAnsi="宋体"/>
          <w:b/>
          <w:sz w:val="24"/>
          <w:szCs w:val="24"/>
        </w:rPr>
        <w:t>残疾人福利性单位声明函（价格扣除适用，若有）</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本投标人郑重声明，根据《财政部 民政部</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w:t>
      </w:r>
      <w:r>
        <w:rPr>
          <w:rFonts w:ascii="宋体" w:hAnsi="宋体"/>
          <w:sz w:val="24"/>
          <w:szCs w:val="24"/>
        </w:rPr>
        <w:tab/>
      </w:r>
      <w:r>
        <w:rPr>
          <w:rFonts w:ascii="宋体" w:hAnsi="宋体"/>
          <w:sz w:val="24"/>
          <w:szCs w:val="24"/>
        </w:rPr>
        <w:tab/>
      </w:r>
      <w:r>
        <w:rPr>
          <w:rFonts w:ascii="宋体" w:hAnsi="宋体"/>
          <w:sz w:val="24"/>
          <w:szCs w:val="24"/>
        </w:rPr>
        <w:tab/>
      </w:r>
      <w:r>
        <w:rPr>
          <w:rFonts w:ascii="宋体" w:hAnsi="宋体"/>
          <w:sz w:val="24"/>
          <w:szCs w:val="24"/>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）由本投标人承建的（填写“所投采购包、品目号”）工程</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）由本投标人承接的（填写“所投采购包、品目号”）服务；</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本投标人对上述声明的真实性负责。如有虚假，将依法承担相应责任。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备注：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1、请投标人按照实际情况编制填写本声明函，并在相应的（）中打“√”。</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2、若《残疾人福利性单位声明函》内容不真实，视为提供虚假材料。</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　　年　　月　　日</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 xml:space="preserve"> </w:t>
      </w:r>
    </w:p>
    <w:p>
      <w:pPr>
        <w:pStyle w:val="55"/>
        <w:widowControl w:val="0"/>
        <w:spacing w:line="360" w:lineRule="auto"/>
        <w:rPr>
          <w:rFonts w:hint="default" w:ascii="宋体" w:hAnsi="宋体"/>
          <w:sz w:val="24"/>
          <w:szCs w:val="24"/>
        </w:rPr>
      </w:pPr>
      <w:r>
        <w:rPr>
          <w:rFonts w:ascii="宋体" w:hAnsi="宋体"/>
          <w:sz w:val="24"/>
          <w:szCs w:val="24"/>
        </w:rPr>
        <w:t>附：</w:t>
      </w:r>
    </w:p>
    <w:p>
      <w:pPr>
        <w:pStyle w:val="55"/>
        <w:widowControl w:val="0"/>
        <w:spacing w:line="360" w:lineRule="auto"/>
        <w:jc w:val="center"/>
        <w:rPr>
          <w:rFonts w:hint="default" w:ascii="宋体" w:hAnsi="宋体"/>
          <w:sz w:val="24"/>
          <w:szCs w:val="24"/>
        </w:rPr>
      </w:pPr>
      <w:r>
        <w:rPr>
          <w:rFonts w:ascii="宋体" w:hAnsi="宋体"/>
          <w:b/>
          <w:sz w:val="24"/>
          <w:szCs w:val="24"/>
        </w:rPr>
        <w:t>监狱企业证明材料</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投标人为监狱企业，提供本单位制造的货物（承接的服务），并在电子投标文件中提供省级以上监狱管理局、戒毒管理局（含新疆生产建设兵团）出具的属于监狱企业的证明文件。</w:t>
      </w: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三-3招标文件规定的其他价格扣除证明材料（若有）</w:t>
      </w:r>
    </w:p>
    <w:p>
      <w:pPr>
        <w:pStyle w:val="55"/>
        <w:widowControl w:val="0"/>
        <w:spacing w:line="360" w:lineRule="auto"/>
        <w:jc w:val="center"/>
        <w:rPr>
          <w:rFonts w:hint="default" w:ascii="宋体" w:hAnsi="宋体"/>
          <w:sz w:val="24"/>
          <w:szCs w:val="24"/>
        </w:rPr>
      </w:pPr>
      <w:r>
        <w:rPr>
          <w:rFonts w:ascii="宋体" w:hAnsi="宋体"/>
          <w:sz w:val="24"/>
          <w:szCs w:val="24"/>
        </w:rPr>
        <w:t>编制说明</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若投标人可享受招标文件规定的除“节能（非强制类）、环境标志产品价格扣除”及“小型、微型企业产品等价格扣除”外的其他价格扣除优惠，则投标人应按照招标文件要求提供相应证明材料。</w:t>
      </w:r>
    </w:p>
    <w:p>
      <w:pPr>
        <w:pStyle w:val="55"/>
        <w:widowControl w:val="0"/>
        <w:spacing w:line="360" w:lineRule="auto"/>
        <w:ind w:firstLine="480" w:firstLineChars="200"/>
        <w:rPr>
          <w:rFonts w:hint="default" w:ascii="宋体" w:hAnsi="宋体"/>
          <w:sz w:val="24"/>
          <w:szCs w:val="24"/>
        </w:rPr>
      </w:pPr>
    </w:p>
    <w:p>
      <w:pPr>
        <w:pStyle w:val="55"/>
        <w:widowControl w:val="0"/>
        <w:spacing w:line="360" w:lineRule="auto"/>
        <w:jc w:val="center"/>
        <w:rPr>
          <w:rFonts w:hint="default" w:ascii="宋体" w:hAnsi="宋体"/>
          <w:sz w:val="24"/>
          <w:szCs w:val="24"/>
        </w:rPr>
      </w:pPr>
      <w:r>
        <w:rPr>
          <w:rFonts w:ascii="宋体" w:hAnsi="宋体"/>
          <w:b/>
          <w:sz w:val="24"/>
          <w:szCs w:val="24"/>
        </w:rPr>
        <w:t>四、招标文件规定的加分证明材料（若有）</w:t>
      </w:r>
    </w:p>
    <w:p>
      <w:pPr>
        <w:pStyle w:val="55"/>
        <w:widowControl w:val="0"/>
        <w:spacing w:line="360" w:lineRule="auto"/>
        <w:jc w:val="center"/>
        <w:rPr>
          <w:rFonts w:hint="default" w:ascii="宋体" w:hAnsi="宋体"/>
          <w:sz w:val="24"/>
          <w:szCs w:val="24"/>
        </w:rPr>
      </w:pPr>
      <w:r>
        <w:rPr>
          <w:rFonts w:ascii="宋体" w:hAnsi="宋体"/>
          <w:b/>
          <w:sz w:val="24"/>
          <w:szCs w:val="24"/>
        </w:rPr>
        <w:t>四-1优先类节能产品、环境标志产品加分证明材料（若有）</w:t>
      </w:r>
    </w:p>
    <w:p>
      <w:pPr>
        <w:pStyle w:val="55"/>
        <w:widowControl w:val="0"/>
        <w:spacing w:line="360" w:lineRule="auto"/>
        <w:jc w:val="center"/>
        <w:rPr>
          <w:rFonts w:hint="default" w:ascii="宋体" w:hAnsi="宋体"/>
          <w:sz w:val="24"/>
          <w:szCs w:val="24"/>
        </w:rPr>
      </w:pPr>
      <w:r>
        <w:rPr>
          <w:rFonts w:ascii="宋体" w:hAnsi="宋体"/>
          <w:b/>
          <w:sz w:val="24"/>
          <w:szCs w:val="24"/>
        </w:rPr>
        <w:t>四-1-①优先类节能产品、环境标志产品统计表（加分适用，若有）</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项目编号：　　　　　　　　</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货币及单位：人民币元</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noWrap w:val="0"/>
            <w:vAlign w:val="center"/>
          </w:tcPr>
          <w:p>
            <w:pPr>
              <w:spacing w:line="360" w:lineRule="auto"/>
              <w:jc w:val="center"/>
              <w:rPr>
                <w:rFonts w:ascii="宋体" w:hAnsi="宋体"/>
                <w:sz w:val="24"/>
                <w:szCs w:val="24"/>
              </w:rPr>
            </w:pPr>
          </w:p>
        </w:tc>
        <w:tc>
          <w:tcPr>
            <w:tcW w:w="7122" w:type="dxa"/>
            <w:gridSpan w:val="6"/>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采购包</w:t>
            </w:r>
          </w:p>
        </w:tc>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品目号</w:t>
            </w:r>
          </w:p>
        </w:tc>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货物名称</w:t>
            </w:r>
          </w:p>
        </w:tc>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单价（现场）</w:t>
            </w:r>
          </w:p>
        </w:tc>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数量</w:t>
            </w:r>
          </w:p>
        </w:tc>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总价（现场）</w:t>
            </w:r>
          </w:p>
        </w:tc>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restart"/>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w:t>
            </w:r>
          </w:p>
        </w:tc>
        <w:tc>
          <w:tcPr>
            <w:tcW w:w="1187" w:type="dxa"/>
            <w:noWrap w:val="0"/>
            <w:vAlign w:val="center"/>
          </w:tcPr>
          <w:p>
            <w:pPr>
              <w:spacing w:line="360" w:lineRule="auto"/>
              <w:jc w:val="center"/>
              <w:rPr>
                <w:rFonts w:ascii="宋体" w:hAnsi="宋体"/>
                <w:sz w:val="24"/>
                <w:szCs w:val="24"/>
              </w:rPr>
            </w:pPr>
          </w:p>
        </w:tc>
        <w:tc>
          <w:tcPr>
            <w:tcW w:w="1187" w:type="dxa"/>
            <w:noWrap w:val="0"/>
            <w:vAlign w:val="center"/>
          </w:tcPr>
          <w:p>
            <w:pPr>
              <w:spacing w:line="360" w:lineRule="auto"/>
              <w:jc w:val="center"/>
              <w:rPr>
                <w:rFonts w:ascii="宋体" w:hAnsi="宋体"/>
                <w:sz w:val="24"/>
                <w:szCs w:val="24"/>
              </w:rPr>
            </w:pPr>
          </w:p>
        </w:tc>
        <w:tc>
          <w:tcPr>
            <w:tcW w:w="1187" w:type="dxa"/>
            <w:noWrap w:val="0"/>
            <w:vAlign w:val="center"/>
          </w:tcPr>
          <w:p>
            <w:pPr>
              <w:spacing w:line="360" w:lineRule="auto"/>
              <w:jc w:val="center"/>
              <w:rPr>
                <w:rFonts w:ascii="宋体" w:hAnsi="宋体"/>
                <w:sz w:val="24"/>
                <w:szCs w:val="24"/>
              </w:rPr>
            </w:pPr>
          </w:p>
        </w:tc>
        <w:tc>
          <w:tcPr>
            <w:tcW w:w="1187" w:type="dxa"/>
            <w:noWrap w:val="0"/>
            <w:vAlign w:val="center"/>
          </w:tcPr>
          <w:p>
            <w:pPr>
              <w:spacing w:line="360" w:lineRule="auto"/>
              <w:jc w:val="center"/>
              <w:rPr>
                <w:rFonts w:ascii="宋体" w:hAnsi="宋体"/>
                <w:sz w:val="24"/>
                <w:szCs w:val="24"/>
              </w:rPr>
            </w:pPr>
          </w:p>
        </w:tc>
        <w:tc>
          <w:tcPr>
            <w:tcW w:w="1187" w:type="dxa"/>
            <w:noWrap w:val="0"/>
            <w:vAlign w:val="center"/>
          </w:tcPr>
          <w:p>
            <w:pPr>
              <w:spacing w:line="360" w:lineRule="auto"/>
              <w:jc w:val="center"/>
              <w:rPr>
                <w:rFonts w:ascii="宋体" w:hAnsi="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Merge w:val="continue"/>
            <w:noWrap w:val="0"/>
            <w:vAlign w:val="center"/>
          </w:tcPr>
          <w:p>
            <w:pPr>
              <w:spacing w:line="360" w:lineRule="auto"/>
              <w:jc w:val="center"/>
              <w:rPr>
                <w:rFonts w:ascii="宋体" w:hAnsi="宋体"/>
                <w:sz w:val="24"/>
                <w:szCs w:val="24"/>
              </w:rPr>
            </w:pPr>
          </w:p>
        </w:tc>
        <w:tc>
          <w:tcPr>
            <w:tcW w:w="1187"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1187" w:type="dxa"/>
            <w:noWrap w:val="0"/>
            <w:vAlign w:val="center"/>
          </w:tcPr>
          <w:p>
            <w:pPr>
              <w:spacing w:line="360" w:lineRule="auto"/>
              <w:jc w:val="center"/>
              <w:rPr>
                <w:rFonts w:ascii="宋体" w:hAnsi="宋体"/>
                <w:sz w:val="24"/>
                <w:szCs w:val="24"/>
              </w:rPr>
            </w:pPr>
          </w:p>
        </w:tc>
        <w:tc>
          <w:tcPr>
            <w:tcW w:w="1187" w:type="dxa"/>
            <w:noWrap w:val="0"/>
            <w:vAlign w:val="center"/>
          </w:tcPr>
          <w:p>
            <w:pPr>
              <w:spacing w:line="360" w:lineRule="auto"/>
              <w:jc w:val="center"/>
              <w:rPr>
                <w:rFonts w:ascii="宋体" w:hAnsi="宋体"/>
                <w:sz w:val="24"/>
                <w:szCs w:val="24"/>
              </w:rPr>
            </w:pPr>
          </w:p>
        </w:tc>
        <w:tc>
          <w:tcPr>
            <w:tcW w:w="1187" w:type="dxa"/>
            <w:noWrap w:val="0"/>
            <w:vAlign w:val="center"/>
          </w:tcPr>
          <w:p>
            <w:pPr>
              <w:spacing w:line="360" w:lineRule="auto"/>
              <w:jc w:val="center"/>
              <w:rPr>
                <w:rFonts w:ascii="宋体" w:hAnsi="宋体"/>
                <w:sz w:val="24"/>
                <w:szCs w:val="24"/>
              </w:rPr>
            </w:pPr>
          </w:p>
        </w:tc>
        <w:tc>
          <w:tcPr>
            <w:tcW w:w="1187" w:type="dxa"/>
            <w:noWrap w:val="0"/>
            <w:vAlign w:val="center"/>
          </w:tcPr>
          <w:p>
            <w:pPr>
              <w:spacing w:line="360" w:lineRule="auto"/>
              <w:jc w:val="center"/>
              <w:rPr>
                <w:rFonts w:ascii="宋体" w:hAnsi="宋体"/>
                <w:sz w:val="24"/>
                <w:szCs w:val="24"/>
              </w:rPr>
            </w:pPr>
          </w:p>
        </w:tc>
        <w:tc>
          <w:tcPr>
            <w:tcW w:w="1187" w:type="dxa"/>
            <w:noWrap w:val="0"/>
            <w:vAlign w:val="center"/>
          </w:tcPr>
          <w:p>
            <w:pPr>
              <w:spacing w:line="360" w:lineRule="auto"/>
              <w:jc w:val="center"/>
              <w:rPr>
                <w:rFonts w:ascii="宋体" w:hAnsi="宋体"/>
                <w:sz w:val="24"/>
                <w:szCs w:val="24"/>
              </w:rPr>
            </w:pPr>
          </w:p>
        </w:tc>
      </w:tr>
    </w:tbl>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1、对节能、环境标志产品计算价格扣除时，只依据电子投标文件“四-1-②优先类节能产品、环境标志产品加分证明材料（加分适用，若有）”。</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2、本表以采购包为单位，不同采购包请分别填写；同一采购包请按照其品目号顺序分别填写。</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3、具体统计、计算：</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3.2计算结果若除不尽，可四舍五入保留到小数点后两位。</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3.3投标人应按照招标文件要求认真统计、计算，否则评标委员会不予认定。</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3.4若无节能、环境标志产品，不填写本表，否则，视为提供虚假材料。</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　　年　　月　　日</w:t>
      </w:r>
    </w:p>
    <w:p>
      <w:pPr>
        <w:pStyle w:val="55"/>
        <w:widowControl w:val="0"/>
        <w:spacing w:line="360" w:lineRule="auto"/>
        <w:ind w:firstLine="482" w:firstLineChars="200"/>
        <w:jc w:val="center"/>
        <w:rPr>
          <w:rFonts w:hint="default" w:ascii="宋体" w:hAnsi="宋体"/>
          <w:sz w:val="24"/>
          <w:szCs w:val="24"/>
        </w:rPr>
      </w:pPr>
      <w:r>
        <w:rPr>
          <w:rFonts w:ascii="宋体" w:hAnsi="宋体"/>
          <w:b/>
          <w:sz w:val="24"/>
          <w:szCs w:val="24"/>
        </w:rPr>
        <w:t>四-1-②优先类节能产品、环境标志产品证明材料（加分适用，若有）</w:t>
      </w:r>
    </w:p>
    <w:p>
      <w:pPr>
        <w:pStyle w:val="55"/>
        <w:widowControl w:val="0"/>
        <w:spacing w:line="360" w:lineRule="auto"/>
        <w:ind w:firstLine="482" w:firstLineChars="200"/>
        <w:jc w:val="center"/>
        <w:rPr>
          <w:rFonts w:hint="default" w:ascii="宋体" w:hAnsi="宋体"/>
          <w:sz w:val="24"/>
          <w:szCs w:val="24"/>
        </w:rPr>
      </w:pPr>
      <w:r>
        <w:rPr>
          <w:rFonts w:ascii="宋体" w:hAnsi="宋体"/>
          <w:b/>
          <w:sz w:val="24"/>
          <w:szCs w:val="24"/>
        </w:rPr>
        <w:t>四-2招标文件规定的其他加分证明材料（若有）</w:t>
      </w:r>
    </w:p>
    <w:p>
      <w:pPr>
        <w:pStyle w:val="55"/>
        <w:widowControl w:val="0"/>
        <w:spacing w:line="360" w:lineRule="auto"/>
        <w:ind w:firstLine="480" w:firstLineChars="200"/>
        <w:jc w:val="center"/>
        <w:rPr>
          <w:rFonts w:hint="default" w:ascii="宋体" w:hAnsi="宋体"/>
          <w:sz w:val="24"/>
          <w:szCs w:val="24"/>
        </w:rPr>
      </w:pPr>
      <w:r>
        <w:rPr>
          <w:rFonts w:ascii="宋体" w:hAnsi="宋体"/>
          <w:sz w:val="24"/>
          <w:szCs w:val="24"/>
        </w:rPr>
        <w:t>编制说明</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若投标人可享受招标文件规定的除“优先类节能产品、环境标志产品加分”外的其他加分优惠，则投标人应按照招标文件要求提供相应证明材料。</w:t>
      </w:r>
    </w:p>
    <w:p>
      <w:pPr>
        <w:pStyle w:val="55"/>
        <w:widowControl w:val="0"/>
        <w:spacing w:line="360" w:lineRule="auto"/>
        <w:ind w:firstLine="480" w:firstLineChars="200"/>
        <w:rPr>
          <w:rFonts w:hint="default" w:ascii="宋体" w:hAnsi="宋体"/>
          <w:sz w:val="24"/>
          <w:szCs w:val="24"/>
        </w:rPr>
      </w:pP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封面格式（技术商务部分）</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福建省政府采购投标文件</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（技术商务部分）</w:t>
      </w:r>
    </w:p>
    <w:p>
      <w:pPr>
        <w:pStyle w:val="55"/>
        <w:widowControl w:val="0"/>
        <w:spacing w:line="360" w:lineRule="auto"/>
        <w:ind w:firstLine="640" w:firstLineChars="200"/>
        <w:jc w:val="center"/>
        <w:rPr>
          <w:rFonts w:hint="default" w:ascii="宋体" w:hAnsi="宋体"/>
          <w:sz w:val="32"/>
          <w:szCs w:val="32"/>
        </w:rPr>
      </w:pP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（填写正本或副本）</w:t>
      </w:r>
    </w:p>
    <w:p>
      <w:pPr>
        <w:pStyle w:val="55"/>
        <w:widowControl w:val="0"/>
        <w:spacing w:line="360" w:lineRule="auto"/>
        <w:ind w:firstLine="640" w:firstLineChars="200"/>
        <w:jc w:val="center"/>
        <w:rPr>
          <w:rFonts w:hint="default" w:ascii="宋体" w:hAnsi="宋体"/>
          <w:sz w:val="32"/>
          <w:szCs w:val="32"/>
        </w:rPr>
      </w:pP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（项目名称：（由投标人填写）</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（备案编号：（由投标人填写）</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（项目编号：（由投标人填写）</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（所投采购包：（由投标人填写）</w:t>
      </w:r>
    </w:p>
    <w:p>
      <w:pPr>
        <w:pStyle w:val="55"/>
        <w:widowControl w:val="0"/>
        <w:spacing w:line="360" w:lineRule="auto"/>
        <w:ind w:firstLine="640" w:firstLineChars="200"/>
        <w:jc w:val="center"/>
        <w:rPr>
          <w:rFonts w:hint="default" w:ascii="宋体" w:hAnsi="宋体"/>
          <w:sz w:val="32"/>
          <w:szCs w:val="32"/>
        </w:rPr>
      </w:pP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投标人：（填写“全称”）</w:t>
      </w:r>
    </w:p>
    <w:p>
      <w:pPr>
        <w:pStyle w:val="55"/>
        <w:widowControl w:val="0"/>
        <w:spacing w:line="360" w:lineRule="auto"/>
        <w:ind w:firstLine="643" w:firstLineChars="200"/>
        <w:jc w:val="center"/>
        <w:rPr>
          <w:rFonts w:hint="default" w:ascii="宋体" w:hAnsi="宋体"/>
          <w:sz w:val="32"/>
          <w:szCs w:val="32"/>
        </w:rPr>
      </w:pPr>
      <w:r>
        <w:rPr>
          <w:rFonts w:ascii="宋体" w:hAnsi="宋体"/>
          <w:b/>
          <w:sz w:val="32"/>
          <w:szCs w:val="32"/>
        </w:rPr>
        <w:t>（由投标人填写）年（由投标人填写）月</w:t>
      </w:r>
    </w:p>
    <w:p/>
    <w:p>
      <w:pPr>
        <w:sectPr>
          <w:pgSz w:w="11906" w:h="16838"/>
          <w:pgMar w:top="1418" w:right="1418" w:bottom="1418" w:left="1418" w:header="851" w:footer="992" w:gutter="0"/>
          <w:cols w:space="720" w:num="1"/>
          <w:docGrid w:type="lines" w:linePitch="312" w:charSpace="0"/>
        </w:sectPr>
      </w:pPr>
    </w:p>
    <w:p>
      <w:pPr>
        <w:pStyle w:val="55"/>
        <w:widowControl w:val="0"/>
        <w:spacing w:line="360" w:lineRule="auto"/>
        <w:jc w:val="center"/>
        <w:rPr>
          <w:rFonts w:hint="default" w:ascii="宋体" w:hAnsi="宋体"/>
          <w:sz w:val="24"/>
          <w:szCs w:val="24"/>
        </w:rPr>
      </w:pPr>
      <w:r>
        <w:rPr>
          <w:rFonts w:ascii="宋体" w:hAnsi="宋体"/>
          <w:b/>
          <w:sz w:val="24"/>
          <w:szCs w:val="24"/>
        </w:rPr>
        <w:t>索引</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一、标的说明一览表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二、技术和服务要求响应表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三、商务条件响应表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四、投标人提交的其他资料（若有）</w:t>
      </w:r>
    </w:p>
    <w:p>
      <w:pPr>
        <w:pStyle w:val="55"/>
        <w:widowControl w:val="0"/>
        <w:spacing w:line="360" w:lineRule="auto"/>
        <w:rPr>
          <w:rFonts w:hint="default" w:ascii="宋体" w:hAnsi="宋体"/>
          <w:sz w:val="24"/>
          <w:szCs w:val="24"/>
        </w:rPr>
      </w:pPr>
    </w:p>
    <w:p>
      <w:pPr>
        <w:pStyle w:val="55"/>
        <w:widowControl w:val="0"/>
        <w:spacing w:line="360" w:lineRule="auto"/>
        <w:jc w:val="center"/>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技术商务部分中不得出现报价部分的全部或部分的投标报价信息（或组成资料），否则符合性审查不合格。</w:t>
      </w:r>
    </w:p>
    <w:p>
      <w:pPr>
        <w:pStyle w:val="55"/>
        <w:widowControl w:val="0"/>
        <w:spacing w:line="360" w:lineRule="auto"/>
        <w:ind w:firstLine="480" w:firstLineChars="200"/>
        <w:rPr>
          <w:rFonts w:hint="default" w:ascii="宋体" w:hAnsi="宋体"/>
          <w:sz w:val="24"/>
          <w:szCs w:val="24"/>
        </w:rPr>
      </w:pP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一、标的说明一览表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项目编号：　　　　　　　　</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采购包</w:t>
            </w:r>
          </w:p>
        </w:tc>
        <w:tc>
          <w:tcPr>
            <w:tcW w:w="1384"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品目号</w:t>
            </w:r>
          </w:p>
        </w:tc>
        <w:tc>
          <w:tcPr>
            <w:tcW w:w="1384"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投标标的</w:t>
            </w:r>
          </w:p>
        </w:tc>
        <w:tc>
          <w:tcPr>
            <w:tcW w:w="1384"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规格</w:t>
            </w:r>
          </w:p>
        </w:tc>
        <w:tc>
          <w:tcPr>
            <w:tcW w:w="1384"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来源地</w:t>
            </w:r>
          </w:p>
        </w:tc>
        <w:tc>
          <w:tcPr>
            <w:tcW w:w="1384"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Merge w:val="restart"/>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1384"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w:t>
            </w:r>
          </w:p>
        </w:tc>
        <w:tc>
          <w:tcPr>
            <w:tcW w:w="1384" w:type="dxa"/>
            <w:noWrap w:val="0"/>
            <w:vAlign w:val="center"/>
          </w:tcPr>
          <w:p>
            <w:pPr>
              <w:spacing w:line="360" w:lineRule="auto"/>
              <w:jc w:val="center"/>
              <w:rPr>
                <w:rFonts w:ascii="宋体" w:hAnsi="宋体"/>
                <w:sz w:val="24"/>
                <w:szCs w:val="24"/>
              </w:rPr>
            </w:pPr>
          </w:p>
        </w:tc>
        <w:tc>
          <w:tcPr>
            <w:tcW w:w="1384" w:type="dxa"/>
            <w:noWrap w:val="0"/>
            <w:vAlign w:val="center"/>
          </w:tcPr>
          <w:p>
            <w:pPr>
              <w:spacing w:line="360" w:lineRule="auto"/>
              <w:jc w:val="center"/>
              <w:rPr>
                <w:rFonts w:ascii="宋体" w:hAnsi="宋体"/>
                <w:sz w:val="24"/>
                <w:szCs w:val="24"/>
              </w:rPr>
            </w:pPr>
          </w:p>
        </w:tc>
        <w:tc>
          <w:tcPr>
            <w:tcW w:w="1384" w:type="dxa"/>
            <w:noWrap w:val="0"/>
            <w:vAlign w:val="center"/>
          </w:tcPr>
          <w:p>
            <w:pPr>
              <w:spacing w:line="360" w:lineRule="auto"/>
              <w:jc w:val="center"/>
              <w:rPr>
                <w:rFonts w:ascii="宋体" w:hAnsi="宋体"/>
                <w:sz w:val="24"/>
                <w:szCs w:val="24"/>
              </w:rPr>
            </w:pPr>
          </w:p>
        </w:tc>
        <w:tc>
          <w:tcPr>
            <w:tcW w:w="1384" w:type="dxa"/>
            <w:noWrap w:val="0"/>
            <w:vAlign w:val="center"/>
          </w:tcPr>
          <w:p>
            <w:pPr>
              <w:spacing w:line="360" w:lineRule="auto"/>
              <w:jc w:val="center"/>
              <w:rPr>
                <w:rFonts w:ascii="宋体" w:hAnsi="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vMerge w:val="continue"/>
            <w:noWrap w:val="0"/>
            <w:vAlign w:val="center"/>
          </w:tcPr>
          <w:p>
            <w:pPr>
              <w:spacing w:line="360" w:lineRule="auto"/>
              <w:jc w:val="center"/>
              <w:rPr>
                <w:rFonts w:ascii="宋体" w:hAnsi="宋体"/>
                <w:sz w:val="24"/>
                <w:szCs w:val="24"/>
              </w:rPr>
            </w:pPr>
          </w:p>
        </w:tc>
        <w:tc>
          <w:tcPr>
            <w:tcW w:w="1384"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1384" w:type="dxa"/>
            <w:noWrap w:val="0"/>
            <w:vAlign w:val="center"/>
          </w:tcPr>
          <w:p>
            <w:pPr>
              <w:spacing w:line="360" w:lineRule="auto"/>
              <w:jc w:val="center"/>
              <w:rPr>
                <w:rFonts w:ascii="宋体" w:hAnsi="宋体"/>
                <w:sz w:val="24"/>
                <w:szCs w:val="24"/>
              </w:rPr>
            </w:pPr>
          </w:p>
        </w:tc>
        <w:tc>
          <w:tcPr>
            <w:tcW w:w="1384" w:type="dxa"/>
            <w:noWrap w:val="0"/>
            <w:vAlign w:val="center"/>
          </w:tcPr>
          <w:p>
            <w:pPr>
              <w:spacing w:line="360" w:lineRule="auto"/>
              <w:jc w:val="center"/>
              <w:rPr>
                <w:rFonts w:ascii="宋体" w:hAnsi="宋体"/>
                <w:sz w:val="24"/>
                <w:szCs w:val="24"/>
              </w:rPr>
            </w:pPr>
          </w:p>
        </w:tc>
        <w:tc>
          <w:tcPr>
            <w:tcW w:w="1384" w:type="dxa"/>
            <w:noWrap w:val="0"/>
            <w:vAlign w:val="center"/>
          </w:tcPr>
          <w:p>
            <w:pPr>
              <w:spacing w:line="360" w:lineRule="auto"/>
              <w:jc w:val="center"/>
              <w:rPr>
                <w:rFonts w:ascii="宋体" w:hAnsi="宋体"/>
                <w:sz w:val="24"/>
                <w:szCs w:val="24"/>
              </w:rPr>
            </w:pPr>
          </w:p>
        </w:tc>
        <w:tc>
          <w:tcPr>
            <w:tcW w:w="1384" w:type="dxa"/>
            <w:noWrap w:val="0"/>
            <w:vAlign w:val="center"/>
          </w:tcPr>
          <w:p>
            <w:pPr>
              <w:spacing w:line="360" w:lineRule="auto"/>
              <w:jc w:val="center"/>
              <w:rPr>
                <w:rFonts w:ascii="宋体" w:hAnsi="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1384" w:type="dxa"/>
            <w:noWrap w:val="0"/>
            <w:vAlign w:val="center"/>
          </w:tcPr>
          <w:p>
            <w:pPr>
              <w:spacing w:line="360" w:lineRule="auto"/>
              <w:jc w:val="center"/>
              <w:rPr>
                <w:rFonts w:ascii="宋体" w:hAnsi="宋体"/>
                <w:sz w:val="24"/>
                <w:szCs w:val="24"/>
              </w:rPr>
            </w:pPr>
          </w:p>
        </w:tc>
        <w:tc>
          <w:tcPr>
            <w:tcW w:w="1384" w:type="dxa"/>
            <w:noWrap w:val="0"/>
            <w:vAlign w:val="center"/>
          </w:tcPr>
          <w:p>
            <w:pPr>
              <w:spacing w:line="360" w:lineRule="auto"/>
              <w:jc w:val="center"/>
              <w:rPr>
                <w:rFonts w:ascii="宋体" w:hAnsi="宋体"/>
                <w:sz w:val="24"/>
                <w:szCs w:val="24"/>
              </w:rPr>
            </w:pPr>
          </w:p>
        </w:tc>
        <w:tc>
          <w:tcPr>
            <w:tcW w:w="1384" w:type="dxa"/>
            <w:noWrap w:val="0"/>
            <w:vAlign w:val="center"/>
          </w:tcPr>
          <w:p>
            <w:pPr>
              <w:spacing w:line="360" w:lineRule="auto"/>
              <w:jc w:val="center"/>
              <w:rPr>
                <w:rFonts w:ascii="宋体" w:hAnsi="宋体"/>
                <w:sz w:val="24"/>
                <w:szCs w:val="24"/>
              </w:rPr>
            </w:pPr>
          </w:p>
        </w:tc>
        <w:tc>
          <w:tcPr>
            <w:tcW w:w="1384" w:type="dxa"/>
            <w:noWrap w:val="0"/>
            <w:vAlign w:val="center"/>
          </w:tcPr>
          <w:p>
            <w:pPr>
              <w:spacing w:line="360" w:lineRule="auto"/>
              <w:jc w:val="center"/>
              <w:rPr>
                <w:rFonts w:ascii="宋体" w:hAnsi="宋体"/>
                <w:sz w:val="24"/>
                <w:szCs w:val="24"/>
              </w:rPr>
            </w:pPr>
          </w:p>
        </w:tc>
        <w:tc>
          <w:tcPr>
            <w:tcW w:w="1384" w:type="dxa"/>
            <w:noWrap w:val="0"/>
            <w:vAlign w:val="center"/>
          </w:tcPr>
          <w:p>
            <w:pPr>
              <w:spacing w:line="360" w:lineRule="auto"/>
              <w:jc w:val="center"/>
              <w:rPr>
                <w:rFonts w:ascii="宋体" w:hAnsi="宋体"/>
                <w:sz w:val="24"/>
                <w:szCs w:val="24"/>
              </w:rPr>
            </w:pPr>
          </w:p>
        </w:tc>
      </w:tr>
    </w:tbl>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1、本表应按照下列规定填写：</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1.1“采购包”、“品目号”、“投标标的”及“数量”应与招标文件《采购标的一览表》中的有关内容（“采购包”、“品目号”、“采购标的”及“数量”）保持一致。</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3、电子投标文件中涉及“投标标的”、“数量”、“规格”、“来源地”的内容若不一致，应以本表为准。</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　　年　　月　　日</w:t>
      </w: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p>
    <w:p>
      <w:pPr>
        <w:pStyle w:val="55"/>
        <w:widowControl w:val="0"/>
        <w:spacing w:line="360" w:lineRule="auto"/>
        <w:jc w:val="center"/>
        <w:rPr>
          <w:rFonts w:hint="default" w:ascii="宋体" w:hAnsi="宋体"/>
          <w:sz w:val="24"/>
          <w:szCs w:val="24"/>
        </w:rPr>
      </w:pPr>
      <w:r>
        <w:rPr>
          <w:rFonts w:ascii="宋体" w:hAnsi="宋体"/>
          <w:b/>
          <w:sz w:val="24"/>
          <w:szCs w:val="24"/>
        </w:rPr>
        <w:t>二、技术和服务要求响应表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项目编号：　　　　　　　　</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采购包</w:t>
            </w:r>
          </w:p>
        </w:tc>
        <w:tc>
          <w:tcPr>
            <w:tcW w:w="166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品目号</w:t>
            </w:r>
          </w:p>
        </w:tc>
        <w:tc>
          <w:tcPr>
            <w:tcW w:w="166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技术和服务要求</w:t>
            </w:r>
          </w:p>
        </w:tc>
        <w:tc>
          <w:tcPr>
            <w:tcW w:w="166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投标响应</w:t>
            </w:r>
          </w:p>
        </w:tc>
        <w:tc>
          <w:tcPr>
            <w:tcW w:w="166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166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w:t>
            </w:r>
          </w:p>
        </w:tc>
        <w:tc>
          <w:tcPr>
            <w:tcW w:w="1661" w:type="dxa"/>
            <w:noWrap w:val="0"/>
            <w:vAlign w:val="center"/>
          </w:tcPr>
          <w:p>
            <w:pPr>
              <w:spacing w:line="360" w:lineRule="auto"/>
              <w:jc w:val="center"/>
              <w:rPr>
                <w:rFonts w:ascii="宋体" w:hAnsi="宋体"/>
                <w:sz w:val="24"/>
                <w:szCs w:val="24"/>
              </w:rPr>
            </w:pPr>
          </w:p>
        </w:tc>
        <w:tc>
          <w:tcPr>
            <w:tcW w:w="1661" w:type="dxa"/>
            <w:noWrap w:val="0"/>
            <w:vAlign w:val="center"/>
          </w:tcPr>
          <w:p>
            <w:pPr>
              <w:spacing w:line="360" w:lineRule="auto"/>
              <w:jc w:val="center"/>
              <w:rPr>
                <w:rFonts w:ascii="宋体" w:hAnsi="宋体"/>
                <w:sz w:val="24"/>
                <w:szCs w:val="24"/>
              </w:rPr>
            </w:pPr>
          </w:p>
        </w:tc>
        <w:tc>
          <w:tcPr>
            <w:tcW w:w="1661" w:type="dxa"/>
            <w:noWrap w:val="0"/>
            <w:vAlign w:val="center"/>
          </w:tcPr>
          <w:p>
            <w:pPr>
              <w:spacing w:line="360" w:lineRule="auto"/>
              <w:jc w:val="center"/>
              <w:rPr>
                <w:rFonts w:ascii="宋体" w:hAnsi="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noWrap w:val="0"/>
            <w:vAlign w:val="center"/>
          </w:tcPr>
          <w:p>
            <w:pPr>
              <w:spacing w:line="360" w:lineRule="auto"/>
              <w:jc w:val="center"/>
              <w:rPr>
                <w:rFonts w:ascii="宋体" w:hAnsi="宋体"/>
                <w:sz w:val="24"/>
                <w:szCs w:val="24"/>
              </w:rPr>
            </w:pPr>
          </w:p>
        </w:tc>
        <w:tc>
          <w:tcPr>
            <w:tcW w:w="166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1661" w:type="dxa"/>
            <w:noWrap w:val="0"/>
            <w:vAlign w:val="center"/>
          </w:tcPr>
          <w:p>
            <w:pPr>
              <w:spacing w:line="360" w:lineRule="auto"/>
              <w:jc w:val="center"/>
              <w:rPr>
                <w:rFonts w:ascii="宋体" w:hAnsi="宋体"/>
                <w:sz w:val="24"/>
                <w:szCs w:val="24"/>
              </w:rPr>
            </w:pPr>
          </w:p>
        </w:tc>
        <w:tc>
          <w:tcPr>
            <w:tcW w:w="1661" w:type="dxa"/>
            <w:noWrap w:val="0"/>
            <w:vAlign w:val="center"/>
          </w:tcPr>
          <w:p>
            <w:pPr>
              <w:spacing w:line="360" w:lineRule="auto"/>
              <w:jc w:val="center"/>
              <w:rPr>
                <w:rFonts w:ascii="宋体" w:hAnsi="宋体"/>
                <w:sz w:val="24"/>
                <w:szCs w:val="24"/>
              </w:rPr>
            </w:pPr>
          </w:p>
        </w:tc>
        <w:tc>
          <w:tcPr>
            <w:tcW w:w="1661" w:type="dxa"/>
            <w:noWrap w:val="0"/>
            <w:vAlign w:val="center"/>
          </w:tcPr>
          <w:p>
            <w:pPr>
              <w:spacing w:line="360" w:lineRule="auto"/>
              <w:jc w:val="center"/>
              <w:rPr>
                <w:rFonts w:ascii="宋体" w:hAnsi="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1661" w:type="dxa"/>
            <w:noWrap w:val="0"/>
            <w:vAlign w:val="center"/>
          </w:tcPr>
          <w:p>
            <w:pPr>
              <w:spacing w:line="360" w:lineRule="auto"/>
              <w:jc w:val="center"/>
              <w:rPr>
                <w:rFonts w:ascii="宋体" w:hAnsi="宋体"/>
                <w:sz w:val="24"/>
                <w:szCs w:val="24"/>
              </w:rPr>
            </w:pPr>
          </w:p>
        </w:tc>
        <w:tc>
          <w:tcPr>
            <w:tcW w:w="1661" w:type="dxa"/>
            <w:noWrap w:val="0"/>
            <w:vAlign w:val="center"/>
          </w:tcPr>
          <w:p>
            <w:pPr>
              <w:spacing w:line="360" w:lineRule="auto"/>
              <w:jc w:val="center"/>
              <w:rPr>
                <w:rFonts w:ascii="宋体" w:hAnsi="宋体"/>
                <w:sz w:val="24"/>
                <w:szCs w:val="24"/>
              </w:rPr>
            </w:pPr>
          </w:p>
        </w:tc>
        <w:tc>
          <w:tcPr>
            <w:tcW w:w="1661" w:type="dxa"/>
            <w:noWrap w:val="0"/>
            <w:vAlign w:val="center"/>
          </w:tcPr>
          <w:p>
            <w:pPr>
              <w:spacing w:line="360" w:lineRule="auto"/>
              <w:jc w:val="center"/>
              <w:rPr>
                <w:rFonts w:ascii="宋体" w:hAnsi="宋体"/>
                <w:sz w:val="24"/>
                <w:szCs w:val="24"/>
              </w:rPr>
            </w:pPr>
          </w:p>
        </w:tc>
        <w:tc>
          <w:tcPr>
            <w:tcW w:w="1661" w:type="dxa"/>
            <w:noWrap w:val="0"/>
            <w:vAlign w:val="center"/>
          </w:tcPr>
          <w:p>
            <w:pPr>
              <w:spacing w:line="360" w:lineRule="auto"/>
              <w:jc w:val="center"/>
              <w:rPr>
                <w:rFonts w:ascii="宋体" w:hAnsi="宋体"/>
                <w:sz w:val="24"/>
                <w:szCs w:val="24"/>
              </w:rPr>
            </w:pPr>
          </w:p>
        </w:tc>
      </w:tr>
    </w:tbl>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1、本表应按照下列规定填写：</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1.1“技术和服务要求”项下填写的内容应与招标文件第五章“技术和服务要求”的内容保持一致。</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1.3“是否偏离及说明”项下应按下列规定填写：优于的，填写“正偏离”；符合的，填写“无偏离”；低于的，填写“负偏离”。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　　年　　月　　日</w:t>
      </w: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p>
    <w:p>
      <w:pPr>
        <w:pStyle w:val="55"/>
        <w:widowControl w:val="0"/>
        <w:spacing w:line="360" w:lineRule="auto"/>
        <w:jc w:val="center"/>
        <w:rPr>
          <w:rFonts w:hint="default" w:ascii="宋体" w:hAnsi="宋体"/>
          <w:sz w:val="24"/>
          <w:szCs w:val="24"/>
        </w:rPr>
      </w:pPr>
      <w:r>
        <w:rPr>
          <w:rFonts w:ascii="宋体" w:hAnsi="宋体"/>
          <w:b/>
          <w:sz w:val="24"/>
          <w:szCs w:val="24"/>
        </w:rPr>
        <w:t>三、商务条件响应表</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项目编号：　　　　　　　　</w:t>
      </w:r>
    </w:p>
    <w:tbl>
      <w:tblPr>
        <w:tblStyle w:val="1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采购包</w:t>
            </w:r>
          </w:p>
        </w:tc>
        <w:tc>
          <w:tcPr>
            <w:tcW w:w="166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品目号</w:t>
            </w:r>
          </w:p>
        </w:tc>
        <w:tc>
          <w:tcPr>
            <w:tcW w:w="166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商务条件</w:t>
            </w:r>
          </w:p>
        </w:tc>
        <w:tc>
          <w:tcPr>
            <w:tcW w:w="166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投标响应</w:t>
            </w:r>
          </w:p>
        </w:tc>
        <w:tc>
          <w:tcPr>
            <w:tcW w:w="166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restart"/>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166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*-1</w:t>
            </w:r>
          </w:p>
        </w:tc>
        <w:tc>
          <w:tcPr>
            <w:tcW w:w="1661" w:type="dxa"/>
            <w:noWrap w:val="0"/>
            <w:vAlign w:val="center"/>
          </w:tcPr>
          <w:p>
            <w:pPr>
              <w:spacing w:line="360" w:lineRule="auto"/>
              <w:jc w:val="center"/>
              <w:rPr>
                <w:rFonts w:ascii="宋体" w:hAnsi="宋体"/>
                <w:sz w:val="24"/>
                <w:szCs w:val="24"/>
              </w:rPr>
            </w:pPr>
          </w:p>
        </w:tc>
        <w:tc>
          <w:tcPr>
            <w:tcW w:w="1661" w:type="dxa"/>
            <w:noWrap w:val="0"/>
            <w:vAlign w:val="center"/>
          </w:tcPr>
          <w:p>
            <w:pPr>
              <w:spacing w:line="360" w:lineRule="auto"/>
              <w:jc w:val="center"/>
              <w:rPr>
                <w:rFonts w:ascii="宋体" w:hAnsi="宋体"/>
                <w:sz w:val="24"/>
                <w:szCs w:val="24"/>
              </w:rPr>
            </w:pPr>
          </w:p>
        </w:tc>
        <w:tc>
          <w:tcPr>
            <w:tcW w:w="1661" w:type="dxa"/>
            <w:noWrap w:val="0"/>
            <w:vAlign w:val="center"/>
          </w:tcPr>
          <w:p>
            <w:pPr>
              <w:spacing w:line="360" w:lineRule="auto"/>
              <w:jc w:val="center"/>
              <w:rPr>
                <w:rFonts w:ascii="宋体" w:hAnsi="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vMerge w:val="continue"/>
            <w:noWrap w:val="0"/>
            <w:vAlign w:val="center"/>
          </w:tcPr>
          <w:p>
            <w:pPr>
              <w:spacing w:line="360" w:lineRule="auto"/>
              <w:jc w:val="center"/>
              <w:rPr>
                <w:rFonts w:ascii="宋体" w:hAnsi="宋体"/>
                <w:sz w:val="24"/>
                <w:szCs w:val="24"/>
              </w:rPr>
            </w:pPr>
          </w:p>
        </w:tc>
        <w:tc>
          <w:tcPr>
            <w:tcW w:w="166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1661" w:type="dxa"/>
            <w:noWrap w:val="0"/>
            <w:vAlign w:val="center"/>
          </w:tcPr>
          <w:p>
            <w:pPr>
              <w:spacing w:line="360" w:lineRule="auto"/>
              <w:jc w:val="center"/>
              <w:rPr>
                <w:rFonts w:ascii="宋体" w:hAnsi="宋体"/>
                <w:sz w:val="24"/>
                <w:szCs w:val="24"/>
              </w:rPr>
            </w:pPr>
          </w:p>
        </w:tc>
        <w:tc>
          <w:tcPr>
            <w:tcW w:w="1661" w:type="dxa"/>
            <w:noWrap w:val="0"/>
            <w:vAlign w:val="center"/>
          </w:tcPr>
          <w:p>
            <w:pPr>
              <w:spacing w:line="360" w:lineRule="auto"/>
              <w:jc w:val="center"/>
              <w:rPr>
                <w:rFonts w:ascii="宋体" w:hAnsi="宋体"/>
                <w:sz w:val="24"/>
                <w:szCs w:val="24"/>
              </w:rPr>
            </w:pPr>
          </w:p>
        </w:tc>
        <w:tc>
          <w:tcPr>
            <w:tcW w:w="1661" w:type="dxa"/>
            <w:noWrap w:val="0"/>
            <w:vAlign w:val="center"/>
          </w:tcPr>
          <w:p>
            <w:pPr>
              <w:spacing w:line="360" w:lineRule="auto"/>
              <w:jc w:val="center"/>
              <w:rPr>
                <w:rFonts w:ascii="宋体" w:hAnsi="宋体"/>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661" w:type="dxa"/>
            <w:noWrap w:val="0"/>
            <w:vAlign w:val="center"/>
          </w:tcPr>
          <w:p>
            <w:pPr>
              <w:pStyle w:val="55"/>
              <w:widowControl w:val="0"/>
              <w:spacing w:line="360" w:lineRule="auto"/>
              <w:jc w:val="center"/>
              <w:rPr>
                <w:rFonts w:hint="default" w:ascii="宋体" w:hAnsi="宋体"/>
                <w:sz w:val="24"/>
                <w:szCs w:val="24"/>
              </w:rPr>
            </w:pPr>
            <w:r>
              <w:rPr>
                <w:rFonts w:ascii="宋体" w:hAnsi="宋体"/>
                <w:sz w:val="24"/>
                <w:szCs w:val="24"/>
              </w:rPr>
              <w:t>…</w:t>
            </w:r>
          </w:p>
        </w:tc>
        <w:tc>
          <w:tcPr>
            <w:tcW w:w="1661" w:type="dxa"/>
            <w:noWrap w:val="0"/>
            <w:vAlign w:val="center"/>
          </w:tcPr>
          <w:p>
            <w:pPr>
              <w:spacing w:line="360" w:lineRule="auto"/>
              <w:jc w:val="center"/>
              <w:rPr>
                <w:rFonts w:ascii="宋体" w:hAnsi="宋体"/>
                <w:sz w:val="24"/>
                <w:szCs w:val="24"/>
              </w:rPr>
            </w:pPr>
          </w:p>
        </w:tc>
        <w:tc>
          <w:tcPr>
            <w:tcW w:w="1661" w:type="dxa"/>
            <w:noWrap w:val="0"/>
            <w:vAlign w:val="center"/>
          </w:tcPr>
          <w:p>
            <w:pPr>
              <w:spacing w:line="360" w:lineRule="auto"/>
              <w:jc w:val="center"/>
              <w:rPr>
                <w:rFonts w:ascii="宋体" w:hAnsi="宋体"/>
                <w:sz w:val="24"/>
                <w:szCs w:val="24"/>
              </w:rPr>
            </w:pPr>
          </w:p>
        </w:tc>
        <w:tc>
          <w:tcPr>
            <w:tcW w:w="1661" w:type="dxa"/>
            <w:noWrap w:val="0"/>
            <w:vAlign w:val="center"/>
          </w:tcPr>
          <w:p>
            <w:pPr>
              <w:spacing w:line="360" w:lineRule="auto"/>
              <w:jc w:val="center"/>
              <w:rPr>
                <w:rFonts w:ascii="宋体" w:hAnsi="宋体"/>
                <w:sz w:val="24"/>
                <w:szCs w:val="24"/>
              </w:rPr>
            </w:pPr>
          </w:p>
        </w:tc>
        <w:tc>
          <w:tcPr>
            <w:tcW w:w="1661" w:type="dxa"/>
            <w:noWrap w:val="0"/>
            <w:vAlign w:val="center"/>
          </w:tcPr>
          <w:p>
            <w:pPr>
              <w:spacing w:line="360" w:lineRule="auto"/>
              <w:jc w:val="center"/>
              <w:rPr>
                <w:rFonts w:ascii="宋体" w:hAnsi="宋体"/>
                <w:sz w:val="24"/>
                <w:szCs w:val="24"/>
              </w:rPr>
            </w:pPr>
          </w:p>
        </w:tc>
      </w:tr>
    </w:tbl>
    <w:p>
      <w:pPr>
        <w:pStyle w:val="55"/>
        <w:widowControl w:val="0"/>
        <w:spacing w:line="360" w:lineRule="auto"/>
        <w:ind w:firstLine="480" w:firstLineChars="200"/>
        <w:rPr>
          <w:rFonts w:hint="default" w:ascii="宋体" w:hAnsi="宋体"/>
          <w:sz w:val="24"/>
          <w:szCs w:val="24"/>
        </w:rPr>
      </w:pPr>
      <w:r>
        <w:rPr>
          <w:rFonts w:ascii="宋体" w:hAnsi="宋体"/>
          <w:sz w:val="24"/>
          <w:szCs w:val="24"/>
        </w:rPr>
        <w:t>※注意：</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1、本表应按照下列规定填写：</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1.1“商务条件”项下填写的内容应与招标文件第五章“商务条件”的内容保持一致。</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1.2“投标响应”项下应填写具体的响应内容并与“商务条件”项下填写的内容逐项对应；对“商务条件”项下涉及“≥或＞”、“≤或＜”及某个区间值范围内的内容，应填写具体的数值。</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1.3“是否偏离及说明”项下应按下列规定填写：优于的，填写“正偏离”；符合的，填写“无偏离”；低于的，填写“负偏离”。</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投标人：（全称并加盖单位公章）</w:t>
      </w:r>
    </w:p>
    <w:p>
      <w:pPr>
        <w:pStyle w:val="55"/>
        <w:widowControl w:val="0"/>
        <w:spacing w:line="360" w:lineRule="auto"/>
        <w:ind w:firstLine="480" w:firstLineChars="200"/>
        <w:jc w:val="right"/>
        <w:rPr>
          <w:rFonts w:hint="default" w:ascii="宋体" w:hAnsi="宋体"/>
          <w:sz w:val="24"/>
          <w:szCs w:val="24"/>
        </w:rPr>
      </w:pPr>
      <w:r>
        <w:rPr>
          <w:rFonts w:ascii="宋体" w:hAnsi="宋体"/>
          <w:sz w:val="24"/>
          <w:szCs w:val="24"/>
        </w:rPr>
        <w:t>日期：　　年　　月　　日</w:t>
      </w:r>
    </w:p>
    <w:p>
      <w:pPr>
        <w:pStyle w:val="55"/>
        <w:widowControl w:val="0"/>
        <w:spacing w:line="360" w:lineRule="auto"/>
        <w:ind w:firstLine="480" w:firstLineChars="200"/>
        <w:rPr>
          <w:rFonts w:hint="default" w:ascii="宋体" w:hAnsi="宋体"/>
          <w:sz w:val="24"/>
          <w:szCs w:val="24"/>
        </w:rPr>
      </w:pPr>
    </w:p>
    <w:p>
      <w:pPr>
        <w:pStyle w:val="55"/>
        <w:widowControl w:val="0"/>
        <w:spacing w:line="360" w:lineRule="auto"/>
        <w:ind w:firstLine="480" w:firstLineChars="200"/>
        <w:rPr>
          <w:rFonts w:hint="default" w:ascii="宋体" w:hAnsi="宋体"/>
          <w:sz w:val="24"/>
          <w:szCs w:val="24"/>
        </w:rPr>
        <w:sectPr>
          <w:pgSz w:w="11906" w:h="16838"/>
          <w:pgMar w:top="1418" w:right="1418" w:bottom="1418" w:left="1418" w:header="851" w:footer="992" w:gutter="0"/>
          <w:cols w:space="720" w:num="1"/>
          <w:docGrid w:type="lines" w:linePitch="312" w:charSpace="0"/>
        </w:sectPr>
      </w:pPr>
      <w:r>
        <w:rPr>
          <w:rFonts w:ascii="宋体" w:hAnsi="宋体"/>
          <w:sz w:val="24"/>
          <w:szCs w:val="24"/>
        </w:rPr>
        <w:t xml:space="preserve"> </w:t>
      </w:r>
    </w:p>
    <w:p>
      <w:pPr>
        <w:pStyle w:val="55"/>
        <w:widowControl w:val="0"/>
        <w:spacing w:line="360" w:lineRule="auto"/>
        <w:jc w:val="center"/>
        <w:rPr>
          <w:rFonts w:hint="default" w:ascii="宋体" w:hAnsi="宋体"/>
          <w:sz w:val="24"/>
          <w:szCs w:val="24"/>
        </w:rPr>
      </w:pPr>
      <w:r>
        <w:rPr>
          <w:rFonts w:ascii="宋体" w:hAnsi="宋体"/>
          <w:b/>
          <w:sz w:val="24"/>
          <w:szCs w:val="24"/>
        </w:rPr>
        <w:t>四、投标人提交的其他资料（若有）</w:t>
      </w:r>
    </w:p>
    <w:p>
      <w:pPr>
        <w:pStyle w:val="55"/>
        <w:widowControl w:val="0"/>
        <w:spacing w:line="360" w:lineRule="auto"/>
        <w:jc w:val="center"/>
        <w:rPr>
          <w:rFonts w:hint="default" w:ascii="宋体" w:hAnsi="宋体"/>
          <w:sz w:val="24"/>
          <w:szCs w:val="24"/>
        </w:rPr>
      </w:pPr>
      <w:r>
        <w:rPr>
          <w:rFonts w:ascii="宋体" w:hAnsi="宋体"/>
          <w:sz w:val="24"/>
          <w:szCs w:val="24"/>
        </w:rPr>
        <w:t>编制说明</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1、招标文件要求提交的除“资格及资信证明部分”、“报价部分”外的其他证明材料或资料加盖投标人的单位公章后应在此项下提交。</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2、招标文件要求投标人提供方案（包括但不限于：组织、实施、技术、服务方案等）的，投标人应在此项下提交。</w:t>
      </w:r>
    </w:p>
    <w:p>
      <w:pPr>
        <w:pStyle w:val="55"/>
        <w:widowControl w:val="0"/>
        <w:spacing w:line="360" w:lineRule="auto"/>
        <w:ind w:firstLine="480" w:firstLineChars="200"/>
        <w:rPr>
          <w:rFonts w:hint="default" w:ascii="宋体" w:hAnsi="宋体"/>
          <w:sz w:val="24"/>
          <w:szCs w:val="24"/>
        </w:rPr>
      </w:pPr>
      <w:r>
        <w:rPr>
          <w:rFonts w:ascii="宋体" w:hAnsi="宋体"/>
          <w:sz w:val="24"/>
          <w:szCs w:val="24"/>
        </w:rPr>
        <w:t>3、除招标文件另有规定外，投标人认为需要提交的其他证明材料或资料加盖投标人的单位公章后应在此项下提交。</w:t>
      </w:r>
    </w:p>
    <w:p>
      <w:pPr>
        <w:pStyle w:val="55"/>
        <w:widowControl w:val="0"/>
        <w:spacing w:line="360" w:lineRule="auto"/>
        <w:ind w:firstLine="480" w:firstLineChars="200"/>
        <w:rPr>
          <w:rFonts w:hint="default" w:ascii="宋体" w:hAnsi="宋体"/>
          <w:sz w:val="24"/>
          <w:szCs w:val="24"/>
        </w:rPr>
      </w:pPr>
    </w:p>
    <w:p>
      <w:pPr>
        <w:spacing w:line="360" w:lineRule="auto"/>
        <w:ind w:firstLine="480" w:firstLineChars="200"/>
        <w:rPr>
          <w:rFonts w:ascii="宋体" w:hAnsi="宋体"/>
          <w:sz w:val="24"/>
          <w:szCs w:val="24"/>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single" w:color="auto" w:sz="4" w:space="1"/>
      </w:pBdr>
      <w:ind w:right="-1"/>
      <w:jc w:val="center"/>
      <w:rPr>
        <w:rFonts w:ascii="宋体" w:hAnsi="宋体"/>
        <w:sz w:val="24"/>
      </w:rPr>
    </w:pPr>
    <w:r>
      <w:rPr>
        <w:rFonts w:hint="eastAsia" w:ascii="宋体" w:hAnsi="宋体"/>
        <w:sz w:val="24"/>
      </w:rPr>
      <w:t>【</w:t>
    </w:r>
    <w:r>
      <w:rPr>
        <w:rFonts w:ascii="宋体" w:hAnsi="宋体"/>
        <w:sz w:val="24"/>
      </w:rPr>
      <w:t>第</w:t>
    </w:r>
    <w:r>
      <w:rPr>
        <w:rFonts w:hint="eastAsia" w:ascii="宋体" w:hAnsi="宋体"/>
        <w:sz w:val="24"/>
      </w:rPr>
      <w:t xml:space="preserve"> </w:t>
    </w: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3</w:t>
    </w:r>
    <w:r>
      <w:rPr>
        <w:rFonts w:ascii="宋体" w:hAnsi="宋体"/>
        <w:sz w:val="24"/>
      </w:rPr>
      <w:fldChar w:fldCharType="end"/>
    </w:r>
    <w:r>
      <w:rPr>
        <w:rFonts w:hint="eastAsia" w:ascii="宋体" w:hAnsi="宋体"/>
        <w:sz w:val="24"/>
      </w:rPr>
      <w:t xml:space="preserve"> 页，共 </w:t>
    </w:r>
    <w:r>
      <w:fldChar w:fldCharType="begin"/>
    </w:r>
    <w:r>
      <w:instrText xml:space="preserve"> NUMPAGES   \* MERGEFORMAT </w:instrText>
    </w:r>
    <w:r>
      <w:fldChar w:fldCharType="separate"/>
    </w:r>
    <w:r>
      <w:rPr>
        <w:rFonts w:ascii="宋体" w:hAnsi="宋体"/>
        <w:sz w:val="24"/>
      </w:rPr>
      <w:t>98</w:t>
    </w:r>
    <w:r>
      <w:rPr>
        <w:rFonts w:ascii="宋体" w:hAnsi="宋体"/>
        <w:sz w:val="24"/>
      </w:rPr>
      <w:fldChar w:fldCharType="end"/>
    </w:r>
    <w:r>
      <w:rPr>
        <w:rFonts w:hint="eastAsia" w:ascii="宋体" w:hAnsi="宋体"/>
        <w:sz w:val="24"/>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61</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98</w:t>
    </w:r>
    <w:r>
      <w:rPr>
        <w:rFonts w:ascii="宋体" w:hAnsi="宋体"/>
        <w:sz w:val="24"/>
        <w:szCs w:val="18"/>
      </w:rPr>
      <w:fldChar w:fldCharType="end"/>
    </w:r>
    <w:r>
      <w:rPr>
        <w:rFonts w:hint="eastAsia" w:ascii="宋体" w:hAnsi="宋体"/>
        <w:sz w:val="24"/>
        <w:szCs w:val="18"/>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41</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98</w:t>
    </w:r>
    <w:r>
      <w:rPr>
        <w:rFonts w:ascii="宋体" w:hAnsi="宋体"/>
        <w:sz w:val="24"/>
        <w:szCs w:val="18"/>
      </w:rPr>
      <w:fldChar w:fldCharType="end"/>
    </w:r>
    <w:r>
      <w:rPr>
        <w:rFonts w:hint="eastAsia" w:ascii="宋体" w:hAnsi="宋体"/>
        <w:sz w:val="24"/>
        <w:szCs w:val="18"/>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 xml:space="preserve">【第 </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98</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98</w:t>
    </w:r>
    <w:r>
      <w:rPr>
        <w:rFonts w:ascii="宋体" w:hAnsi="宋体"/>
        <w:sz w:val="24"/>
        <w:szCs w:val="18"/>
      </w:rPr>
      <w:fldChar w:fldCharType="end"/>
    </w:r>
    <w:r>
      <w:rPr>
        <w:rFonts w:hint="eastAsia" w:ascii="宋体" w:hAnsi="宋体"/>
        <w:sz w:val="24"/>
        <w:szCs w:val="18"/>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ind w:right="-1"/>
      <w:jc w:val="center"/>
      <w:rPr>
        <w:rFonts w:ascii="宋体" w:hAnsi="宋体"/>
        <w:sz w:val="24"/>
        <w:szCs w:val="18"/>
      </w:rPr>
    </w:pPr>
    <w:r>
      <w:rPr>
        <w:rFonts w:hint="eastAsia" w:ascii="宋体" w:hAnsi="宋体"/>
        <w:sz w:val="24"/>
        <w:szCs w:val="18"/>
      </w:rPr>
      <w:t>【</w:t>
    </w:r>
    <w:r>
      <w:rPr>
        <w:rFonts w:ascii="宋体" w:hAnsi="宋体"/>
        <w:sz w:val="24"/>
        <w:szCs w:val="18"/>
      </w:rPr>
      <w:t>第</w:t>
    </w:r>
    <w:r>
      <w:rPr>
        <w:rFonts w:ascii="宋体" w:hAnsi="宋体"/>
        <w:sz w:val="24"/>
        <w:szCs w:val="18"/>
      </w:rPr>
      <w:fldChar w:fldCharType="begin"/>
    </w:r>
    <w:r>
      <w:rPr>
        <w:rFonts w:ascii="宋体" w:hAnsi="宋体"/>
        <w:sz w:val="24"/>
        <w:szCs w:val="18"/>
      </w:rPr>
      <w:instrText xml:space="preserve"> PAGE   \* MERGEFORMAT </w:instrText>
    </w:r>
    <w:r>
      <w:rPr>
        <w:rFonts w:ascii="宋体" w:hAnsi="宋体"/>
        <w:sz w:val="24"/>
        <w:szCs w:val="18"/>
      </w:rPr>
      <w:fldChar w:fldCharType="separate"/>
    </w:r>
    <w:r>
      <w:rPr>
        <w:rFonts w:ascii="宋体" w:hAnsi="宋体"/>
        <w:sz w:val="24"/>
        <w:szCs w:val="18"/>
        <w:lang w:val="zh-CN"/>
      </w:rPr>
      <w:t>49</w:t>
    </w:r>
    <w:r>
      <w:rPr>
        <w:rFonts w:ascii="宋体" w:hAnsi="宋体"/>
        <w:sz w:val="24"/>
        <w:szCs w:val="18"/>
      </w:rPr>
      <w:fldChar w:fldCharType="end"/>
    </w:r>
    <w:r>
      <w:rPr>
        <w:rFonts w:hint="eastAsia" w:ascii="宋体" w:hAnsi="宋体"/>
        <w:sz w:val="24"/>
        <w:szCs w:val="18"/>
      </w:rPr>
      <w:t xml:space="preserve"> 页，共 </w:t>
    </w:r>
    <w:r>
      <w:fldChar w:fldCharType="begin"/>
    </w:r>
    <w:r>
      <w:instrText xml:space="preserve"> NUMPAGES   \* MERGEFORMAT </w:instrText>
    </w:r>
    <w:r>
      <w:fldChar w:fldCharType="separate"/>
    </w:r>
    <w:r>
      <w:rPr>
        <w:rFonts w:ascii="宋体" w:hAnsi="宋体"/>
        <w:sz w:val="24"/>
        <w:szCs w:val="18"/>
      </w:rPr>
      <w:t>57</w:t>
    </w:r>
    <w:r>
      <w:rPr>
        <w:rFonts w:ascii="宋体" w:hAnsi="宋体"/>
        <w:sz w:val="24"/>
        <w:szCs w:val="18"/>
      </w:rPr>
      <w:fldChar w:fldCharType="end"/>
    </w:r>
    <w:r>
      <w:rPr>
        <w:rFonts w:hint="eastAsia" w:ascii="宋体" w:hAnsi="宋体"/>
        <w:sz w:val="24"/>
        <w:szCs w:val="18"/>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B0EEC"/>
    <w:multiLevelType w:val="multilevel"/>
    <w:tmpl w:val="129B0EEC"/>
    <w:lvl w:ilvl="0" w:tentative="0">
      <w:start w:val="1"/>
      <w:numFmt w:val="decimal"/>
      <w:lvlText w:val="2-%1"/>
      <w:lvlJc w:val="left"/>
      <w:pPr>
        <w:tabs>
          <w:tab w:val="left" w:pos="425"/>
        </w:tabs>
        <w:ind w:left="425" w:hanging="425"/>
      </w:pPr>
      <w:rPr>
        <w:rFonts w:hint="default" w:ascii="宋体" w:hAnsi="宋体" w:eastAsia="宋体" w:cs="宋体"/>
      </w:rPr>
    </w:lvl>
    <w:lvl w:ilvl="1" w:tentative="0">
      <w:start w:val="1"/>
      <w:numFmt w:val="decimal"/>
      <w:lvlText w:val="%1.%2"/>
      <w:lvlJc w:val="left"/>
      <w:pPr>
        <w:tabs>
          <w:tab w:val="left" w:pos="964"/>
        </w:tabs>
        <w:ind w:left="0" w:firstLine="425"/>
      </w:pPr>
      <w:rPr>
        <w:rFonts w:hint="eastAsia" w:ascii="宋体" w:hAnsi="宋体" w:eastAsia="宋体"/>
      </w:rPr>
    </w:lvl>
    <w:lvl w:ilvl="2" w:tentative="0">
      <w:start w:val="1"/>
      <w:numFmt w:val="decimal"/>
      <w:lvlText w:val="%1.%2.%3"/>
      <w:lvlJc w:val="left"/>
      <w:pPr>
        <w:tabs>
          <w:tab w:val="left" w:pos="964"/>
        </w:tabs>
        <w:ind w:left="0" w:firstLine="425"/>
      </w:pPr>
      <w:rPr>
        <w:rFonts w:hint="eastAsia" w:ascii="宋体" w:hAnsi="宋体" w:eastAsia="宋体"/>
        <w:b w:val="0"/>
      </w:rPr>
    </w:lvl>
    <w:lvl w:ilvl="3" w:tentative="0">
      <w:start w:val="1"/>
      <w:numFmt w:val="decimal"/>
      <w:lvlText w:val="%1.%2.%3.%4"/>
      <w:lvlJc w:val="left"/>
      <w:pPr>
        <w:tabs>
          <w:tab w:val="left" w:pos="964"/>
        </w:tabs>
        <w:ind w:left="113" w:firstLine="312"/>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2B1177EE"/>
    <w:multiLevelType w:val="multilevel"/>
    <w:tmpl w:val="2B1177EE"/>
    <w:lvl w:ilvl="0" w:tentative="0">
      <w:start w:val="1"/>
      <w:numFmt w:val="decimal"/>
      <w:lvlText w:val="%1"/>
      <w:lvlJc w:val="left"/>
      <w:pPr>
        <w:ind w:left="425" w:hanging="425"/>
      </w:pPr>
    </w:lvl>
    <w:lvl w:ilvl="1" w:tentative="0">
      <w:start w:val="1"/>
      <w:numFmt w:val="decimal"/>
      <w:lvlText w:val="%1.%2"/>
      <w:lvlJc w:val="left"/>
      <w:pPr>
        <w:ind w:left="5246"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3545641E"/>
    <w:multiLevelType w:val="multilevel"/>
    <w:tmpl w:val="3545641E"/>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850EC6"/>
    <w:multiLevelType w:val="multilevel"/>
    <w:tmpl w:val="55850EC6"/>
    <w:lvl w:ilvl="0" w:tentative="0">
      <w:start w:val="8"/>
      <w:numFmt w:val="decimal"/>
      <w:lvlText w:val="%1"/>
      <w:lvlJc w:val="left"/>
      <w:pPr>
        <w:ind w:left="425" w:hanging="425"/>
      </w:pPr>
      <w:rPr>
        <w:rFonts w:hint="default" w:ascii="Arial" w:hAnsi="Arial" w:cs="Arial"/>
      </w:rPr>
    </w:lvl>
    <w:lvl w:ilvl="1" w:tentative="0">
      <w:start w:val="1"/>
      <w:numFmt w:val="decimal"/>
      <w:suff w:val="space"/>
      <w:lvlText w:val="%1.%2"/>
      <w:lvlJc w:val="left"/>
      <w:pPr>
        <w:ind w:left="-5" w:firstLine="425"/>
      </w:pPr>
      <w:rPr>
        <w:rFonts w:hint="eastAsia" w:ascii="宋体" w:hAnsi="宋体" w:eastAsia="宋体"/>
        <w:b w:val="0"/>
        <w:bCs w:val="0"/>
        <w:sz w:val="24"/>
        <w:szCs w:val="24"/>
      </w:rPr>
    </w:lvl>
    <w:lvl w:ilvl="2" w:tentative="0">
      <w:start w:val="1"/>
      <w:numFmt w:val="decimal"/>
      <w:suff w:val="space"/>
      <w:lvlText w:val="%1.%2.%3"/>
      <w:lvlJc w:val="left"/>
      <w:pPr>
        <w:ind w:left="1418" w:hanging="567"/>
      </w:pPr>
      <w:rPr>
        <w:rFonts w:hint="eastAsia" w:ascii="宋体" w:hAnsi="宋体" w:eastAsia="宋体"/>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1"/>
  </w:num>
  <w:num w:numId="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0Y2YwNThmYWQ0OWVkNjVlN2JiOGM2YWY0NDg1N2IifQ=="/>
  </w:docVars>
  <w:rsids>
    <w:rsidRoot w:val="00172A27"/>
    <w:rsid w:val="00000EB7"/>
    <w:rsid w:val="00007EAA"/>
    <w:rsid w:val="00010A69"/>
    <w:rsid w:val="00011089"/>
    <w:rsid w:val="00014914"/>
    <w:rsid w:val="00015FDA"/>
    <w:rsid w:val="00017248"/>
    <w:rsid w:val="000179A6"/>
    <w:rsid w:val="0003084B"/>
    <w:rsid w:val="00030D6E"/>
    <w:rsid w:val="000315A6"/>
    <w:rsid w:val="000364C3"/>
    <w:rsid w:val="000413A1"/>
    <w:rsid w:val="000414DE"/>
    <w:rsid w:val="000427FA"/>
    <w:rsid w:val="00042BAD"/>
    <w:rsid w:val="00042C55"/>
    <w:rsid w:val="0004365E"/>
    <w:rsid w:val="000440E5"/>
    <w:rsid w:val="0004441F"/>
    <w:rsid w:val="000452B0"/>
    <w:rsid w:val="00045DE6"/>
    <w:rsid w:val="00047C7D"/>
    <w:rsid w:val="000527EB"/>
    <w:rsid w:val="00053367"/>
    <w:rsid w:val="00056AEA"/>
    <w:rsid w:val="0006129C"/>
    <w:rsid w:val="00061623"/>
    <w:rsid w:val="00063D22"/>
    <w:rsid w:val="00064733"/>
    <w:rsid w:val="0006564E"/>
    <w:rsid w:val="00065FA7"/>
    <w:rsid w:val="00067BBE"/>
    <w:rsid w:val="00067F26"/>
    <w:rsid w:val="000702E6"/>
    <w:rsid w:val="00073860"/>
    <w:rsid w:val="00074B74"/>
    <w:rsid w:val="0007535C"/>
    <w:rsid w:val="000763E1"/>
    <w:rsid w:val="00077094"/>
    <w:rsid w:val="00077690"/>
    <w:rsid w:val="00080524"/>
    <w:rsid w:val="000806DE"/>
    <w:rsid w:val="00081B37"/>
    <w:rsid w:val="000847DC"/>
    <w:rsid w:val="00085296"/>
    <w:rsid w:val="00085B84"/>
    <w:rsid w:val="000874BD"/>
    <w:rsid w:val="0009051C"/>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041"/>
    <w:rsid w:val="000D1BCF"/>
    <w:rsid w:val="000D2697"/>
    <w:rsid w:val="000D2C05"/>
    <w:rsid w:val="000D3266"/>
    <w:rsid w:val="000D39C4"/>
    <w:rsid w:val="000D52A1"/>
    <w:rsid w:val="000D5604"/>
    <w:rsid w:val="000D5AE8"/>
    <w:rsid w:val="000E1F7E"/>
    <w:rsid w:val="000E7943"/>
    <w:rsid w:val="000F69F7"/>
    <w:rsid w:val="000F6D4D"/>
    <w:rsid w:val="001029D4"/>
    <w:rsid w:val="00103A51"/>
    <w:rsid w:val="00104230"/>
    <w:rsid w:val="00104302"/>
    <w:rsid w:val="00105554"/>
    <w:rsid w:val="00110FFE"/>
    <w:rsid w:val="00111AC6"/>
    <w:rsid w:val="00113431"/>
    <w:rsid w:val="00116940"/>
    <w:rsid w:val="001172F6"/>
    <w:rsid w:val="00117ED0"/>
    <w:rsid w:val="00120A3A"/>
    <w:rsid w:val="0012146C"/>
    <w:rsid w:val="00121846"/>
    <w:rsid w:val="00126BE6"/>
    <w:rsid w:val="0012724A"/>
    <w:rsid w:val="001275FF"/>
    <w:rsid w:val="001366CA"/>
    <w:rsid w:val="00140F13"/>
    <w:rsid w:val="00142BED"/>
    <w:rsid w:val="00143667"/>
    <w:rsid w:val="001507B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3BA3"/>
    <w:rsid w:val="00185564"/>
    <w:rsid w:val="00185721"/>
    <w:rsid w:val="00186F97"/>
    <w:rsid w:val="00190545"/>
    <w:rsid w:val="00191DAD"/>
    <w:rsid w:val="001944B2"/>
    <w:rsid w:val="001969A6"/>
    <w:rsid w:val="00196B6A"/>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2B2"/>
    <w:rsid w:val="001B78EA"/>
    <w:rsid w:val="001C7012"/>
    <w:rsid w:val="001C773D"/>
    <w:rsid w:val="001C7D76"/>
    <w:rsid w:val="001D0468"/>
    <w:rsid w:val="001D053B"/>
    <w:rsid w:val="001D1FC2"/>
    <w:rsid w:val="001D4A89"/>
    <w:rsid w:val="001D4AD2"/>
    <w:rsid w:val="001D4AF7"/>
    <w:rsid w:val="001D5E01"/>
    <w:rsid w:val="001D7BA8"/>
    <w:rsid w:val="001E02C7"/>
    <w:rsid w:val="001E031E"/>
    <w:rsid w:val="001E084F"/>
    <w:rsid w:val="001E11F0"/>
    <w:rsid w:val="001E12E2"/>
    <w:rsid w:val="001E16E8"/>
    <w:rsid w:val="001E4650"/>
    <w:rsid w:val="001E572B"/>
    <w:rsid w:val="001E64B9"/>
    <w:rsid w:val="001E73AB"/>
    <w:rsid w:val="001E744C"/>
    <w:rsid w:val="001E7F42"/>
    <w:rsid w:val="001F2728"/>
    <w:rsid w:val="001F2E0B"/>
    <w:rsid w:val="001F4AE4"/>
    <w:rsid w:val="001F4B44"/>
    <w:rsid w:val="001F5002"/>
    <w:rsid w:val="001F7D56"/>
    <w:rsid w:val="00201AFF"/>
    <w:rsid w:val="0020604E"/>
    <w:rsid w:val="002073B8"/>
    <w:rsid w:val="002100C5"/>
    <w:rsid w:val="00214BAD"/>
    <w:rsid w:val="002176BF"/>
    <w:rsid w:val="00220430"/>
    <w:rsid w:val="002230F0"/>
    <w:rsid w:val="00223DA8"/>
    <w:rsid w:val="00224BCD"/>
    <w:rsid w:val="00225178"/>
    <w:rsid w:val="00225192"/>
    <w:rsid w:val="00226B0A"/>
    <w:rsid w:val="00230CB4"/>
    <w:rsid w:val="0023573F"/>
    <w:rsid w:val="00237DE6"/>
    <w:rsid w:val="002403C6"/>
    <w:rsid w:val="002405B8"/>
    <w:rsid w:val="00240DBC"/>
    <w:rsid w:val="002411C7"/>
    <w:rsid w:val="00244529"/>
    <w:rsid w:val="00247492"/>
    <w:rsid w:val="002507AE"/>
    <w:rsid w:val="00251042"/>
    <w:rsid w:val="00251773"/>
    <w:rsid w:val="00252191"/>
    <w:rsid w:val="00252DC7"/>
    <w:rsid w:val="00255700"/>
    <w:rsid w:val="002634CD"/>
    <w:rsid w:val="00263C57"/>
    <w:rsid w:val="00265883"/>
    <w:rsid w:val="00266B5E"/>
    <w:rsid w:val="0027417C"/>
    <w:rsid w:val="0027626D"/>
    <w:rsid w:val="00277161"/>
    <w:rsid w:val="00280763"/>
    <w:rsid w:val="00283DDB"/>
    <w:rsid w:val="00283EC7"/>
    <w:rsid w:val="0028674D"/>
    <w:rsid w:val="0029008A"/>
    <w:rsid w:val="00291F2D"/>
    <w:rsid w:val="00292018"/>
    <w:rsid w:val="00293239"/>
    <w:rsid w:val="00297900"/>
    <w:rsid w:val="002A0F68"/>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5A1F"/>
    <w:rsid w:val="00317B8B"/>
    <w:rsid w:val="00320700"/>
    <w:rsid w:val="00321934"/>
    <w:rsid w:val="00322186"/>
    <w:rsid w:val="00322545"/>
    <w:rsid w:val="00323339"/>
    <w:rsid w:val="00324068"/>
    <w:rsid w:val="00325A10"/>
    <w:rsid w:val="00332DB9"/>
    <w:rsid w:val="0033497F"/>
    <w:rsid w:val="00335DB5"/>
    <w:rsid w:val="00335F72"/>
    <w:rsid w:val="0033732B"/>
    <w:rsid w:val="003374D2"/>
    <w:rsid w:val="00337753"/>
    <w:rsid w:val="00337CFE"/>
    <w:rsid w:val="003425F3"/>
    <w:rsid w:val="00346752"/>
    <w:rsid w:val="003473A0"/>
    <w:rsid w:val="00347BEC"/>
    <w:rsid w:val="00350FB7"/>
    <w:rsid w:val="00352533"/>
    <w:rsid w:val="00352DEF"/>
    <w:rsid w:val="00355656"/>
    <w:rsid w:val="00362BA5"/>
    <w:rsid w:val="003653F3"/>
    <w:rsid w:val="00366786"/>
    <w:rsid w:val="0037424B"/>
    <w:rsid w:val="00375FA4"/>
    <w:rsid w:val="00381372"/>
    <w:rsid w:val="00381C3C"/>
    <w:rsid w:val="00385AE6"/>
    <w:rsid w:val="003864A5"/>
    <w:rsid w:val="00387647"/>
    <w:rsid w:val="00387CEE"/>
    <w:rsid w:val="00397AC7"/>
    <w:rsid w:val="003A06BD"/>
    <w:rsid w:val="003A0E8B"/>
    <w:rsid w:val="003A2BF5"/>
    <w:rsid w:val="003A4168"/>
    <w:rsid w:val="003B2F7A"/>
    <w:rsid w:val="003B6D97"/>
    <w:rsid w:val="003B6E05"/>
    <w:rsid w:val="003B78F6"/>
    <w:rsid w:val="003C042E"/>
    <w:rsid w:val="003C51EB"/>
    <w:rsid w:val="003C6121"/>
    <w:rsid w:val="003C66E4"/>
    <w:rsid w:val="003C7873"/>
    <w:rsid w:val="003D101F"/>
    <w:rsid w:val="003D255E"/>
    <w:rsid w:val="003D5286"/>
    <w:rsid w:val="003E00EF"/>
    <w:rsid w:val="003E0F35"/>
    <w:rsid w:val="003E1B58"/>
    <w:rsid w:val="003E29D1"/>
    <w:rsid w:val="003E37FC"/>
    <w:rsid w:val="003E786F"/>
    <w:rsid w:val="003F1E08"/>
    <w:rsid w:val="003F1E76"/>
    <w:rsid w:val="003F4D22"/>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51AA"/>
    <w:rsid w:val="00436A0E"/>
    <w:rsid w:val="004404B8"/>
    <w:rsid w:val="0044165F"/>
    <w:rsid w:val="004437B8"/>
    <w:rsid w:val="00453736"/>
    <w:rsid w:val="004548BE"/>
    <w:rsid w:val="004566C6"/>
    <w:rsid w:val="00456E70"/>
    <w:rsid w:val="00461D53"/>
    <w:rsid w:val="00461FEF"/>
    <w:rsid w:val="00463974"/>
    <w:rsid w:val="00464654"/>
    <w:rsid w:val="00467246"/>
    <w:rsid w:val="00472878"/>
    <w:rsid w:val="004733A6"/>
    <w:rsid w:val="0047451C"/>
    <w:rsid w:val="00474C24"/>
    <w:rsid w:val="004775FD"/>
    <w:rsid w:val="00481A28"/>
    <w:rsid w:val="00482190"/>
    <w:rsid w:val="004836EE"/>
    <w:rsid w:val="00484D04"/>
    <w:rsid w:val="004855C1"/>
    <w:rsid w:val="004862EF"/>
    <w:rsid w:val="004913DC"/>
    <w:rsid w:val="004914E2"/>
    <w:rsid w:val="0049472B"/>
    <w:rsid w:val="00494DC2"/>
    <w:rsid w:val="00496BBA"/>
    <w:rsid w:val="004976A8"/>
    <w:rsid w:val="004A6AB8"/>
    <w:rsid w:val="004B01AD"/>
    <w:rsid w:val="004B150B"/>
    <w:rsid w:val="004B3435"/>
    <w:rsid w:val="004B5468"/>
    <w:rsid w:val="004B6D62"/>
    <w:rsid w:val="004B771E"/>
    <w:rsid w:val="004C1CC7"/>
    <w:rsid w:val="004C3A90"/>
    <w:rsid w:val="004C71F1"/>
    <w:rsid w:val="004D0AEF"/>
    <w:rsid w:val="004D20EB"/>
    <w:rsid w:val="004E2617"/>
    <w:rsid w:val="004E5994"/>
    <w:rsid w:val="004F4941"/>
    <w:rsid w:val="004F5E98"/>
    <w:rsid w:val="005002C3"/>
    <w:rsid w:val="00501FF9"/>
    <w:rsid w:val="00503814"/>
    <w:rsid w:val="005049A5"/>
    <w:rsid w:val="00504A56"/>
    <w:rsid w:val="005060BE"/>
    <w:rsid w:val="0051113C"/>
    <w:rsid w:val="00512FEF"/>
    <w:rsid w:val="005140FD"/>
    <w:rsid w:val="00515D38"/>
    <w:rsid w:val="00515FD8"/>
    <w:rsid w:val="0051676B"/>
    <w:rsid w:val="00516ED8"/>
    <w:rsid w:val="005213CC"/>
    <w:rsid w:val="005244FD"/>
    <w:rsid w:val="00527656"/>
    <w:rsid w:val="005301F5"/>
    <w:rsid w:val="00531074"/>
    <w:rsid w:val="005318FE"/>
    <w:rsid w:val="00532D16"/>
    <w:rsid w:val="00540F2C"/>
    <w:rsid w:val="005426EB"/>
    <w:rsid w:val="005434B2"/>
    <w:rsid w:val="005463EF"/>
    <w:rsid w:val="005475CF"/>
    <w:rsid w:val="005555A2"/>
    <w:rsid w:val="00555B71"/>
    <w:rsid w:val="00557EE7"/>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2A55"/>
    <w:rsid w:val="005C388D"/>
    <w:rsid w:val="005C5031"/>
    <w:rsid w:val="005D1F64"/>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2091D"/>
    <w:rsid w:val="00625609"/>
    <w:rsid w:val="006265E9"/>
    <w:rsid w:val="006267EA"/>
    <w:rsid w:val="00630033"/>
    <w:rsid w:val="00631B8B"/>
    <w:rsid w:val="00631BB9"/>
    <w:rsid w:val="00631BCE"/>
    <w:rsid w:val="00631C25"/>
    <w:rsid w:val="00632EFC"/>
    <w:rsid w:val="006332A3"/>
    <w:rsid w:val="00633739"/>
    <w:rsid w:val="00634B89"/>
    <w:rsid w:val="006375CA"/>
    <w:rsid w:val="0064156B"/>
    <w:rsid w:val="00644715"/>
    <w:rsid w:val="00646A86"/>
    <w:rsid w:val="00647590"/>
    <w:rsid w:val="00647797"/>
    <w:rsid w:val="00647D13"/>
    <w:rsid w:val="00651A3D"/>
    <w:rsid w:val="006524AC"/>
    <w:rsid w:val="00652698"/>
    <w:rsid w:val="0065316D"/>
    <w:rsid w:val="006539FA"/>
    <w:rsid w:val="006559BC"/>
    <w:rsid w:val="006559CC"/>
    <w:rsid w:val="00655AB9"/>
    <w:rsid w:val="00655C37"/>
    <w:rsid w:val="006577D6"/>
    <w:rsid w:val="00661C41"/>
    <w:rsid w:val="006653EC"/>
    <w:rsid w:val="00666452"/>
    <w:rsid w:val="00670ADD"/>
    <w:rsid w:val="00671AEE"/>
    <w:rsid w:val="00671E07"/>
    <w:rsid w:val="0067297A"/>
    <w:rsid w:val="00675A6D"/>
    <w:rsid w:val="00675F1F"/>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49CD"/>
    <w:rsid w:val="006A5070"/>
    <w:rsid w:val="006A746C"/>
    <w:rsid w:val="006A753B"/>
    <w:rsid w:val="006B08EF"/>
    <w:rsid w:val="006B2A04"/>
    <w:rsid w:val="006B413E"/>
    <w:rsid w:val="006B458D"/>
    <w:rsid w:val="006C0262"/>
    <w:rsid w:val="006C0B1C"/>
    <w:rsid w:val="006C0EA5"/>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1A40"/>
    <w:rsid w:val="006F20BE"/>
    <w:rsid w:val="006F3933"/>
    <w:rsid w:val="006F5317"/>
    <w:rsid w:val="006F57CF"/>
    <w:rsid w:val="00701826"/>
    <w:rsid w:val="00702E1B"/>
    <w:rsid w:val="007034B5"/>
    <w:rsid w:val="00707599"/>
    <w:rsid w:val="00711779"/>
    <w:rsid w:val="00711F05"/>
    <w:rsid w:val="0071492E"/>
    <w:rsid w:val="007152F3"/>
    <w:rsid w:val="007156B6"/>
    <w:rsid w:val="00717B59"/>
    <w:rsid w:val="007228AB"/>
    <w:rsid w:val="00722AFB"/>
    <w:rsid w:val="00723B39"/>
    <w:rsid w:val="00731235"/>
    <w:rsid w:val="00733204"/>
    <w:rsid w:val="007344A9"/>
    <w:rsid w:val="0073472F"/>
    <w:rsid w:val="00734D0F"/>
    <w:rsid w:val="00737EA4"/>
    <w:rsid w:val="007400B1"/>
    <w:rsid w:val="007409FC"/>
    <w:rsid w:val="00740A41"/>
    <w:rsid w:val="00747360"/>
    <w:rsid w:val="00753336"/>
    <w:rsid w:val="00755C66"/>
    <w:rsid w:val="007563CC"/>
    <w:rsid w:val="00762649"/>
    <w:rsid w:val="00762F8A"/>
    <w:rsid w:val="007660C1"/>
    <w:rsid w:val="007702B6"/>
    <w:rsid w:val="007762CD"/>
    <w:rsid w:val="00777EE1"/>
    <w:rsid w:val="00781A27"/>
    <w:rsid w:val="0078261C"/>
    <w:rsid w:val="007846C6"/>
    <w:rsid w:val="007911FE"/>
    <w:rsid w:val="00791578"/>
    <w:rsid w:val="00793563"/>
    <w:rsid w:val="00796259"/>
    <w:rsid w:val="00796F26"/>
    <w:rsid w:val="007A19B6"/>
    <w:rsid w:val="007A20F4"/>
    <w:rsid w:val="007A3304"/>
    <w:rsid w:val="007A3F10"/>
    <w:rsid w:val="007A42F7"/>
    <w:rsid w:val="007A7E47"/>
    <w:rsid w:val="007B05AC"/>
    <w:rsid w:val="007B0FD1"/>
    <w:rsid w:val="007B225E"/>
    <w:rsid w:val="007B6597"/>
    <w:rsid w:val="007B7205"/>
    <w:rsid w:val="007B790F"/>
    <w:rsid w:val="007C1298"/>
    <w:rsid w:val="007C1C5A"/>
    <w:rsid w:val="007C28B2"/>
    <w:rsid w:val="007C2A47"/>
    <w:rsid w:val="007C52AE"/>
    <w:rsid w:val="007C537C"/>
    <w:rsid w:val="007C5AD4"/>
    <w:rsid w:val="007D1544"/>
    <w:rsid w:val="007D1D86"/>
    <w:rsid w:val="007D303A"/>
    <w:rsid w:val="007D3753"/>
    <w:rsid w:val="007D38C8"/>
    <w:rsid w:val="007D7AF2"/>
    <w:rsid w:val="007D7EF9"/>
    <w:rsid w:val="007E117E"/>
    <w:rsid w:val="007E1A67"/>
    <w:rsid w:val="007E2187"/>
    <w:rsid w:val="007E51F1"/>
    <w:rsid w:val="007E5344"/>
    <w:rsid w:val="007E599F"/>
    <w:rsid w:val="007E6B80"/>
    <w:rsid w:val="007E782F"/>
    <w:rsid w:val="007F0288"/>
    <w:rsid w:val="007F03DF"/>
    <w:rsid w:val="007F0913"/>
    <w:rsid w:val="007F14D4"/>
    <w:rsid w:val="007F1FEA"/>
    <w:rsid w:val="007F6166"/>
    <w:rsid w:val="007F63E9"/>
    <w:rsid w:val="008047FE"/>
    <w:rsid w:val="00804874"/>
    <w:rsid w:val="008054D0"/>
    <w:rsid w:val="008122A6"/>
    <w:rsid w:val="008122B5"/>
    <w:rsid w:val="0081764E"/>
    <w:rsid w:val="008225F0"/>
    <w:rsid w:val="008232D0"/>
    <w:rsid w:val="00823CE9"/>
    <w:rsid w:val="00823EA0"/>
    <w:rsid w:val="008264CA"/>
    <w:rsid w:val="00831E72"/>
    <w:rsid w:val="00837727"/>
    <w:rsid w:val="00837B77"/>
    <w:rsid w:val="008438D9"/>
    <w:rsid w:val="00844BD0"/>
    <w:rsid w:val="00845A3F"/>
    <w:rsid w:val="00846431"/>
    <w:rsid w:val="00847187"/>
    <w:rsid w:val="0085015F"/>
    <w:rsid w:val="0085219C"/>
    <w:rsid w:val="0085290C"/>
    <w:rsid w:val="00852BEA"/>
    <w:rsid w:val="00854BC9"/>
    <w:rsid w:val="00855917"/>
    <w:rsid w:val="00856889"/>
    <w:rsid w:val="00856F0F"/>
    <w:rsid w:val="00857E3A"/>
    <w:rsid w:val="008601A7"/>
    <w:rsid w:val="008609B8"/>
    <w:rsid w:val="00860B1A"/>
    <w:rsid w:val="00861270"/>
    <w:rsid w:val="00866A7F"/>
    <w:rsid w:val="00875C20"/>
    <w:rsid w:val="0087633E"/>
    <w:rsid w:val="008843DA"/>
    <w:rsid w:val="008847DD"/>
    <w:rsid w:val="0088641D"/>
    <w:rsid w:val="00886A12"/>
    <w:rsid w:val="00890C16"/>
    <w:rsid w:val="00891EB6"/>
    <w:rsid w:val="0089671D"/>
    <w:rsid w:val="008976D3"/>
    <w:rsid w:val="008A240A"/>
    <w:rsid w:val="008A39A6"/>
    <w:rsid w:val="008A4315"/>
    <w:rsid w:val="008A6766"/>
    <w:rsid w:val="008A7982"/>
    <w:rsid w:val="008B0123"/>
    <w:rsid w:val="008B082C"/>
    <w:rsid w:val="008B0854"/>
    <w:rsid w:val="008B1EB6"/>
    <w:rsid w:val="008B34B9"/>
    <w:rsid w:val="008B42DC"/>
    <w:rsid w:val="008B449A"/>
    <w:rsid w:val="008B621D"/>
    <w:rsid w:val="008C0E0C"/>
    <w:rsid w:val="008C28E1"/>
    <w:rsid w:val="008C54B5"/>
    <w:rsid w:val="008C6599"/>
    <w:rsid w:val="008C7580"/>
    <w:rsid w:val="008D0F83"/>
    <w:rsid w:val="008D1BC3"/>
    <w:rsid w:val="008D2B7E"/>
    <w:rsid w:val="008D2F11"/>
    <w:rsid w:val="008E3BC9"/>
    <w:rsid w:val="008E4CEF"/>
    <w:rsid w:val="008E57A6"/>
    <w:rsid w:val="008E7E34"/>
    <w:rsid w:val="008F048B"/>
    <w:rsid w:val="008F1856"/>
    <w:rsid w:val="008F2A3C"/>
    <w:rsid w:val="008F738A"/>
    <w:rsid w:val="00902937"/>
    <w:rsid w:val="00915D32"/>
    <w:rsid w:val="009160F0"/>
    <w:rsid w:val="00916636"/>
    <w:rsid w:val="00923DA0"/>
    <w:rsid w:val="00925C01"/>
    <w:rsid w:val="0092652D"/>
    <w:rsid w:val="00927220"/>
    <w:rsid w:val="009307DD"/>
    <w:rsid w:val="009376F2"/>
    <w:rsid w:val="0094566E"/>
    <w:rsid w:val="00946787"/>
    <w:rsid w:val="00946A0E"/>
    <w:rsid w:val="0094749B"/>
    <w:rsid w:val="00951776"/>
    <w:rsid w:val="00953C5F"/>
    <w:rsid w:val="0095497C"/>
    <w:rsid w:val="00954E46"/>
    <w:rsid w:val="00957AE8"/>
    <w:rsid w:val="00957F21"/>
    <w:rsid w:val="00962194"/>
    <w:rsid w:val="0096258A"/>
    <w:rsid w:val="00962B83"/>
    <w:rsid w:val="00963EDD"/>
    <w:rsid w:val="00964AEF"/>
    <w:rsid w:val="00964FD0"/>
    <w:rsid w:val="0097370A"/>
    <w:rsid w:val="0097472C"/>
    <w:rsid w:val="009756D9"/>
    <w:rsid w:val="009767A2"/>
    <w:rsid w:val="00976E29"/>
    <w:rsid w:val="00982083"/>
    <w:rsid w:val="0098227F"/>
    <w:rsid w:val="00982CCA"/>
    <w:rsid w:val="00982E50"/>
    <w:rsid w:val="00982FC3"/>
    <w:rsid w:val="009838D6"/>
    <w:rsid w:val="00983ECF"/>
    <w:rsid w:val="00986634"/>
    <w:rsid w:val="00986D33"/>
    <w:rsid w:val="00990931"/>
    <w:rsid w:val="00990FF4"/>
    <w:rsid w:val="009915A7"/>
    <w:rsid w:val="009924E2"/>
    <w:rsid w:val="0099450A"/>
    <w:rsid w:val="00996BA1"/>
    <w:rsid w:val="009973B4"/>
    <w:rsid w:val="009A0A8B"/>
    <w:rsid w:val="009A0EDB"/>
    <w:rsid w:val="009A185D"/>
    <w:rsid w:val="009A1BD3"/>
    <w:rsid w:val="009A2D52"/>
    <w:rsid w:val="009A4C61"/>
    <w:rsid w:val="009A51CE"/>
    <w:rsid w:val="009A66D4"/>
    <w:rsid w:val="009A7173"/>
    <w:rsid w:val="009A7753"/>
    <w:rsid w:val="009B1BFD"/>
    <w:rsid w:val="009B290F"/>
    <w:rsid w:val="009B3EC0"/>
    <w:rsid w:val="009B49EA"/>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C8F"/>
    <w:rsid w:val="009F1FD7"/>
    <w:rsid w:val="009F3D74"/>
    <w:rsid w:val="00A000B8"/>
    <w:rsid w:val="00A0183A"/>
    <w:rsid w:val="00A03BF7"/>
    <w:rsid w:val="00A05AEF"/>
    <w:rsid w:val="00A06566"/>
    <w:rsid w:val="00A10943"/>
    <w:rsid w:val="00A10D8A"/>
    <w:rsid w:val="00A12019"/>
    <w:rsid w:val="00A12A44"/>
    <w:rsid w:val="00A13CA0"/>
    <w:rsid w:val="00A149F5"/>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5BC8"/>
    <w:rsid w:val="00A47397"/>
    <w:rsid w:val="00A5086F"/>
    <w:rsid w:val="00A508A1"/>
    <w:rsid w:val="00A51993"/>
    <w:rsid w:val="00A53EB8"/>
    <w:rsid w:val="00A54501"/>
    <w:rsid w:val="00A54709"/>
    <w:rsid w:val="00A555DE"/>
    <w:rsid w:val="00A55B65"/>
    <w:rsid w:val="00A56005"/>
    <w:rsid w:val="00A62299"/>
    <w:rsid w:val="00A64FEE"/>
    <w:rsid w:val="00A657F6"/>
    <w:rsid w:val="00A6635C"/>
    <w:rsid w:val="00A710BC"/>
    <w:rsid w:val="00A74DC1"/>
    <w:rsid w:val="00A755EC"/>
    <w:rsid w:val="00A77C8F"/>
    <w:rsid w:val="00A82658"/>
    <w:rsid w:val="00A82919"/>
    <w:rsid w:val="00A835DD"/>
    <w:rsid w:val="00A84FA5"/>
    <w:rsid w:val="00A87BD8"/>
    <w:rsid w:val="00A9170A"/>
    <w:rsid w:val="00A97623"/>
    <w:rsid w:val="00AA08C6"/>
    <w:rsid w:val="00AA1DEE"/>
    <w:rsid w:val="00AA1E37"/>
    <w:rsid w:val="00AA4759"/>
    <w:rsid w:val="00AA579F"/>
    <w:rsid w:val="00AA72D0"/>
    <w:rsid w:val="00AC0199"/>
    <w:rsid w:val="00AC4249"/>
    <w:rsid w:val="00AD2807"/>
    <w:rsid w:val="00AD4798"/>
    <w:rsid w:val="00AD6AD5"/>
    <w:rsid w:val="00AE0239"/>
    <w:rsid w:val="00AE077D"/>
    <w:rsid w:val="00AE5E5C"/>
    <w:rsid w:val="00AE6033"/>
    <w:rsid w:val="00AF0F34"/>
    <w:rsid w:val="00AF2AAA"/>
    <w:rsid w:val="00AF2ED8"/>
    <w:rsid w:val="00AF3654"/>
    <w:rsid w:val="00AF3D2C"/>
    <w:rsid w:val="00AF4166"/>
    <w:rsid w:val="00AF48AC"/>
    <w:rsid w:val="00AF48BD"/>
    <w:rsid w:val="00AF5959"/>
    <w:rsid w:val="00AF740A"/>
    <w:rsid w:val="00B0084A"/>
    <w:rsid w:val="00B021C3"/>
    <w:rsid w:val="00B05548"/>
    <w:rsid w:val="00B1611E"/>
    <w:rsid w:val="00B17DC4"/>
    <w:rsid w:val="00B212E3"/>
    <w:rsid w:val="00B22232"/>
    <w:rsid w:val="00B231AF"/>
    <w:rsid w:val="00B26CC9"/>
    <w:rsid w:val="00B27516"/>
    <w:rsid w:val="00B27EC7"/>
    <w:rsid w:val="00B307F5"/>
    <w:rsid w:val="00B32CA1"/>
    <w:rsid w:val="00B33C3C"/>
    <w:rsid w:val="00B34AA5"/>
    <w:rsid w:val="00B3590D"/>
    <w:rsid w:val="00B424C7"/>
    <w:rsid w:val="00B43E86"/>
    <w:rsid w:val="00B44474"/>
    <w:rsid w:val="00B4472C"/>
    <w:rsid w:val="00B451B5"/>
    <w:rsid w:val="00B51215"/>
    <w:rsid w:val="00B538AB"/>
    <w:rsid w:val="00B5611E"/>
    <w:rsid w:val="00B56960"/>
    <w:rsid w:val="00B628AB"/>
    <w:rsid w:val="00B63EAD"/>
    <w:rsid w:val="00B65ED9"/>
    <w:rsid w:val="00B702D3"/>
    <w:rsid w:val="00B70997"/>
    <w:rsid w:val="00B75063"/>
    <w:rsid w:val="00B77AF7"/>
    <w:rsid w:val="00B80E24"/>
    <w:rsid w:val="00B80E55"/>
    <w:rsid w:val="00B852EE"/>
    <w:rsid w:val="00B8532E"/>
    <w:rsid w:val="00B855EA"/>
    <w:rsid w:val="00B85FAB"/>
    <w:rsid w:val="00B8639D"/>
    <w:rsid w:val="00B91140"/>
    <w:rsid w:val="00B91561"/>
    <w:rsid w:val="00B93940"/>
    <w:rsid w:val="00B9443F"/>
    <w:rsid w:val="00B9591D"/>
    <w:rsid w:val="00B97F71"/>
    <w:rsid w:val="00BA2EBD"/>
    <w:rsid w:val="00BA48A2"/>
    <w:rsid w:val="00BA65AB"/>
    <w:rsid w:val="00BA6BEA"/>
    <w:rsid w:val="00BA7ABD"/>
    <w:rsid w:val="00BA7C60"/>
    <w:rsid w:val="00BA7FF0"/>
    <w:rsid w:val="00BB218C"/>
    <w:rsid w:val="00BB443C"/>
    <w:rsid w:val="00BB5CDF"/>
    <w:rsid w:val="00BC0319"/>
    <w:rsid w:val="00BC0408"/>
    <w:rsid w:val="00BC17F2"/>
    <w:rsid w:val="00BC3383"/>
    <w:rsid w:val="00BD12DE"/>
    <w:rsid w:val="00BD4D15"/>
    <w:rsid w:val="00BD5623"/>
    <w:rsid w:val="00BD6FEB"/>
    <w:rsid w:val="00BD7484"/>
    <w:rsid w:val="00BE06D3"/>
    <w:rsid w:val="00BE3CA7"/>
    <w:rsid w:val="00BE3F2A"/>
    <w:rsid w:val="00BE4EEB"/>
    <w:rsid w:val="00BE529F"/>
    <w:rsid w:val="00BE5A9B"/>
    <w:rsid w:val="00BE6D22"/>
    <w:rsid w:val="00BE7DCD"/>
    <w:rsid w:val="00BF21B4"/>
    <w:rsid w:val="00BF3026"/>
    <w:rsid w:val="00BF3044"/>
    <w:rsid w:val="00BF4041"/>
    <w:rsid w:val="00BF50DF"/>
    <w:rsid w:val="00C002EA"/>
    <w:rsid w:val="00C009EF"/>
    <w:rsid w:val="00C00CDD"/>
    <w:rsid w:val="00C02195"/>
    <w:rsid w:val="00C02846"/>
    <w:rsid w:val="00C051DC"/>
    <w:rsid w:val="00C06986"/>
    <w:rsid w:val="00C06B09"/>
    <w:rsid w:val="00C06FE2"/>
    <w:rsid w:val="00C0736F"/>
    <w:rsid w:val="00C1665B"/>
    <w:rsid w:val="00C1721E"/>
    <w:rsid w:val="00C174C3"/>
    <w:rsid w:val="00C178D0"/>
    <w:rsid w:val="00C2042E"/>
    <w:rsid w:val="00C21466"/>
    <w:rsid w:val="00C21900"/>
    <w:rsid w:val="00C25166"/>
    <w:rsid w:val="00C251D6"/>
    <w:rsid w:val="00C31D32"/>
    <w:rsid w:val="00C32D43"/>
    <w:rsid w:val="00C35C5D"/>
    <w:rsid w:val="00C377A6"/>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4E0"/>
    <w:rsid w:val="00C75E38"/>
    <w:rsid w:val="00C7763E"/>
    <w:rsid w:val="00C820F3"/>
    <w:rsid w:val="00C828AC"/>
    <w:rsid w:val="00C8354B"/>
    <w:rsid w:val="00C8369C"/>
    <w:rsid w:val="00C85FFC"/>
    <w:rsid w:val="00C86187"/>
    <w:rsid w:val="00C91511"/>
    <w:rsid w:val="00C94F96"/>
    <w:rsid w:val="00C97316"/>
    <w:rsid w:val="00CA02E5"/>
    <w:rsid w:val="00CA06D8"/>
    <w:rsid w:val="00CA1763"/>
    <w:rsid w:val="00CA2D42"/>
    <w:rsid w:val="00CA32E6"/>
    <w:rsid w:val="00CA51FB"/>
    <w:rsid w:val="00CA5AFC"/>
    <w:rsid w:val="00CB0F2A"/>
    <w:rsid w:val="00CB2BBE"/>
    <w:rsid w:val="00CB4320"/>
    <w:rsid w:val="00CB43C4"/>
    <w:rsid w:val="00CB4FCA"/>
    <w:rsid w:val="00CC09FF"/>
    <w:rsid w:val="00CC3326"/>
    <w:rsid w:val="00CC5EF8"/>
    <w:rsid w:val="00CD1E73"/>
    <w:rsid w:val="00CD25C5"/>
    <w:rsid w:val="00CD72AA"/>
    <w:rsid w:val="00CE074F"/>
    <w:rsid w:val="00CE0D29"/>
    <w:rsid w:val="00CE24D3"/>
    <w:rsid w:val="00CE3F34"/>
    <w:rsid w:val="00CE4957"/>
    <w:rsid w:val="00CE6768"/>
    <w:rsid w:val="00CE7E7F"/>
    <w:rsid w:val="00CF01BB"/>
    <w:rsid w:val="00CF0492"/>
    <w:rsid w:val="00CF6AD2"/>
    <w:rsid w:val="00CF79FF"/>
    <w:rsid w:val="00CF7D83"/>
    <w:rsid w:val="00D00355"/>
    <w:rsid w:val="00D008C6"/>
    <w:rsid w:val="00D028F6"/>
    <w:rsid w:val="00D04B2F"/>
    <w:rsid w:val="00D05F9F"/>
    <w:rsid w:val="00D0668C"/>
    <w:rsid w:val="00D11C49"/>
    <w:rsid w:val="00D12634"/>
    <w:rsid w:val="00D21A4B"/>
    <w:rsid w:val="00D23569"/>
    <w:rsid w:val="00D23E3F"/>
    <w:rsid w:val="00D26D56"/>
    <w:rsid w:val="00D30AE1"/>
    <w:rsid w:val="00D338DA"/>
    <w:rsid w:val="00D35457"/>
    <w:rsid w:val="00D37C2A"/>
    <w:rsid w:val="00D402EA"/>
    <w:rsid w:val="00D40CD0"/>
    <w:rsid w:val="00D4179A"/>
    <w:rsid w:val="00D42B59"/>
    <w:rsid w:val="00D51182"/>
    <w:rsid w:val="00D5328D"/>
    <w:rsid w:val="00D566A5"/>
    <w:rsid w:val="00D5738D"/>
    <w:rsid w:val="00D6341E"/>
    <w:rsid w:val="00D63E36"/>
    <w:rsid w:val="00D64C1A"/>
    <w:rsid w:val="00D67C4E"/>
    <w:rsid w:val="00D70B82"/>
    <w:rsid w:val="00D731C7"/>
    <w:rsid w:val="00D744CA"/>
    <w:rsid w:val="00D7451B"/>
    <w:rsid w:val="00D7458E"/>
    <w:rsid w:val="00D74A34"/>
    <w:rsid w:val="00D7580B"/>
    <w:rsid w:val="00D7601E"/>
    <w:rsid w:val="00D833CB"/>
    <w:rsid w:val="00D8364D"/>
    <w:rsid w:val="00D8449C"/>
    <w:rsid w:val="00D85334"/>
    <w:rsid w:val="00D85557"/>
    <w:rsid w:val="00D85600"/>
    <w:rsid w:val="00D8734E"/>
    <w:rsid w:val="00D906FC"/>
    <w:rsid w:val="00D91013"/>
    <w:rsid w:val="00D91124"/>
    <w:rsid w:val="00D94E14"/>
    <w:rsid w:val="00DA0B8A"/>
    <w:rsid w:val="00DA3D04"/>
    <w:rsid w:val="00DA4F3F"/>
    <w:rsid w:val="00DA5A08"/>
    <w:rsid w:val="00DA5B11"/>
    <w:rsid w:val="00DA5E8C"/>
    <w:rsid w:val="00DA5F86"/>
    <w:rsid w:val="00DA73F4"/>
    <w:rsid w:val="00DB078C"/>
    <w:rsid w:val="00DB132B"/>
    <w:rsid w:val="00DB2FE1"/>
    <w:rsid w:val="00DB3722"/>
    <w:rsid w:val="00DC044D"/>
    <w:rsid w:val="00DC495E"/>
    <w:rsid w:val="00DC7F81"/>
    <w:rsid w:val="00DD10E4"/>
    <w:rsid w:val="00DD2A3B"/>
    <w:rsid w:val="00DD4D7D"/>
    <w:rsid w:val="00DD608B"/>
    <w:rsid w:val="00DD712C"/>
    <w:rsid w:val="00DE1E9C"/>
    <w:rsid w:val="00DE5EED"/>
    <w:rsid w:val="00DF02A7"/>
    <w:rsid w:val="00DF0C8C"/>
    <w:rsid w:val="00DF16E6"/>
    <w:rsid w:val="00DF1F2D"/>
    <w:rsid w:val="00DF339B"/>
    <w:rsid w:val="00DF4323"/>
    <w:rsid w:val="00E0439E"/>
    <w:rsid w:val="00E04581"/>
    <w:rsid w:val="00E04D54"/>
    <w:rsid w:val="00E11A31"/>
    <w:rsid w:val="00E128CB"/>
    <w:rsid w:val="00E133CC"/>
    <w:rsid w:val="00E13528"/>
    <w:rsid w:val="00E21909"/>
    <w:rsid w:val="00E21FB5"/>
    <w:rsid w:val="00E24ED5"/>
    <w:rsid w:val="00E31A5A"/>
    <w:rsid w:val="00E31F92"/>
    <w:rsid w:val="00E337C9"/>
    <w:rsid w:val="00E40185"/>
    <w:rsid w:val="00E40996"/>
    <w:rsid w:val="00E41A9F"/>
    <w:rsid w:val="00E41D9E"/>
    <w:rsid w:val="00E43316"/>
    <w:rsid w:val="00E439A3"/>
    <w:rsid w:val="00E43ECC"/>
    <w:rsid w:val="00E440D4"/>
    <w:rsid w:val="00E4418E"/>
    <w:rsid w:val="00E44DCF"/>
    <w:rsid w:val="00E45263"/>
    <w:rsid w:val="00E47C9E"/>
    <w:rsid w:val="00E50520"/>
    <w:rsid w:val="00E532F5"/>
    <w:rsid w:val="00E55B67"/>
    <w:rsid w:val="00E614CC"/>
    <w:rsid w:val="00E65A9C"/>
    <w:rsid w:val="00E704A3"/>
    <w:rsid w:val="00E70737"/>
    <w:rsid w:val="00E719F0"/>
    <w:rsid w:val="00E738D6"/>
    <w:rsid w:val="00E74170"/>
    <w:rsid w:val="00E74FA4"/>
    <w:rsid w:val="00E76B78"/>
    <w:rsid w:val="00E776A0"/>
    <w:rsid w:val="00E776ED"/>
    <w:rsid w:val="00E77D09"/>
    <w:rsid w:val="00E81EDD"/>
    <w:rsid w:val="00E82865"/>
    <w:rsid w:val="00E830BD"/>
    <w:rsid w:val="00E84262"/>
    <w:rsid w:val="00E851E6"/>
    <w:rsid w:val="00E936DA"/>
    <w:rsid w:val="00E93C9F"/>
    <w:rsid w:val="00E93D13"/>
    <w:rsid w:val="00E953F2"/>
    <w:rsid w:val="00E95D76"/>
    <w:rsid w:val="00E95F40"/>
    <w:rsid w:val="00E967DA"/>
    <w:rsid w:val="00E9786C"/>
    <w:rsid w:val="00EA41A7"/>
    <w:rsid w:val="00EA5A17"/>
    <w:rsid w:val="00EB127F"/>
    <w:rsid w:val="00EB16D5"/>
    <w:rsid w:val="00EB3169"/>
    <w:rsid w:val="00EB390F"/>
    <w:rsid w:val="00EB62B6"/>
    <w:rsid w:val="00EB7746"/>
    <w:rsid w:val="00EB7FE4"/>
    <w:rsid w:val="00EC03C2"/>
    <w:rsid w:val="00EC10DB"/>
    <w:rsid w:val="00EC1F81"/>
    <w:rsid w:val="00EC22B4"/>
    <w:rsid w:val="00EC22BA"/>
    <w:rsid w:val="00EC37A2"/>
    <w:rsid w:val="00EC5CD4"/>
    <w:rsid w:val="00EC7C0F"/>
    <w:rsid w:val="00ED0202"/>
    <w:rsid w:val="00ED04DC"/>
    <w:rsid w:val="00ED16AA"/>
    <w:rsid w:val="00ED2B4D"/>
    <w:rsid w:val="00ED5343"/>
    <w:rsid w:val="00ED7AD0"/>
    <w:rsid w:val="00EE0A27"/>
    <w:rsid w:val="00EE0FA6"/>
    <w:rsid w:val="00EE285F"/>
    <w:rsid w:val="00EE2A12"/>
    <w:rsid w:val="00EE2CC8"/>
    <w:rsid w:val="00EE34FA"/>
    <w:rsid w:val="00EE51FF"/>
    <w:rsid w:val="00EF12FE"/>
    <w:rsid w:val="00EF2539"/>
    <w:rsid w:val="00EF4566"/>
    <w:rsid w:val="00EF4613"/>
    <w:rsid w:val="00EF4697"/>
    <w:rsid w:val="00EF4C04"/>
    <w:rsid w:val="00EF5A8C"/>
    <w:rsid w:val="00F009B8"/>
    <w:rsid w:val="00F00C3F"/>
    <w:rsid w:val="00F04611"/>
    <w:rsid w:val="00F04D73"/>
    <w:rsid w:val="00F06BEF"/>
    <w:rsid w:val="00F07B6F"/>
    <w:rsid w:val="00F07C40"/>
    <w:rsid w:val="00F1680A"/>
    <w:rsid w:val="00F16DC8"/>
    <w:rsid w:val="00F21170"/>
    <w:rsid w:val="00F21D30"/>
    <w:rsid w:val="00F22B1A"/>
    <w:rsid w:val="00F23B09"/>
    <w:rsid w:val="00F25037"/>
    <w:rsid w:val="00F25836"/>
    <w:rsid w:val="00F26827"/>
    <w:rsid w:val="00F30291"/>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492"/>
    <w:rsid w:val="00F6569A"/>
    <w:rsid w:val="00F70867"/>
    <w:rsid w:val="00F70F7E"/>
    <w:rsid w:val="00F72AA7"/>
    <w:rsid w:val="00F72CEA"/>
    <w:rsid w:val="00F73A13"/>
    <w:rsid w:val="00F7428F"/>
    <w:rsid w:val="00F76103"/>
    <w:rsid w:val="00F77E03"/>
    <w:rsid w:val="00F80A17"/>
    <w:rsid w:val="00F80C28"/>
    <w:rsid w:val="00F86594"/>
    <w:rsid w:val="00F8742C"/>
    <w:rsid w:val="00F8794A"/>
    <w:rsid w:val="00F87C27"/>
    <w:rsid w:val="00F9638F"/>
    <w:rsid w:val="00FA0609"/>
    <w:rsid w:val="00FA14AA"/>
    <w:rsid w:val="00FA2341"/>
    <w:rsid w:val="00FA28DB"/>
    <w:rsid w:val="00FA30E3"/>
    <w:rsid w:val="00FA5935"/>
    <w:rsid w:val="00FA6564"/>
    <w:rsid w:val="00FA7A00"/>
    <w:rsid w:val="00FA7D17"/>
    <w:rsid w:val="00FB1F5D"/>
    <w:rsid w:val="00FB2737"/>
    <w:rsid w:val="00FB2CAD"/>
    <w:rsid w:val="00FB2D48"/>
    <w:rsid w:val="00FB4527"/>
    <w:rsid w:val="00FB4DA7"/>
    <w:rsid w:val="00FB564A"/>
    <w:rsid w:val="00FC07B8"/>
    <w:rsid w:val="00FC5E8A"/>
    <w:rsid w:val="00FC6C20"/>
    <w:rsid w:val="00FD0BAE"/>
    <w:rsid w:val="00FD2F13"/>
    <w:rsid w:val="00FD378B"/>
    <w:rsid w:val="00FE2592"/>
    <w:rsid w:val="00FE3029"/>
    <w:rsid w:val="00FE32F1"/>
    <w:rsid w:val="00FE3C6D"/>
    <w:rsid w:val="00FE3F17"/>
    <w:rsid w:val="00FE4219"/>
    <w:rsid w:val="00FE7433"/>
    <w:rsid w:val="00FF26C9"/>
    <w:rsid w:val="00FF2E48"/>
    <w:rsid w:val="00FF31A1"/>
    <w:rsid w:val="00FF40AC"/>
    <w:rsid w:val="00FF4B4D"/>
    <w:rsid w:val="03045253"/>
    <w:rsid w:val="05E45F57"/>
    <w:rsid w:val="0A977223"/>
    <w:rsid w:val="0CCA3020"/>
    <w:rsid w:val="0E7B4CEB"/>
    <w:rsid w:val="0EEA063C"/>
    <w:rsid w:val="178B3DC1"/>
    <w:rsid w:val="1B740D26"/>
    <w:rsid w:val="1DE5057D"/>
    <w:rsid w:val="1F9C6662"/>
    <w:rsid w:val="21106BA0"/>
    <w:rsid w:val="23FD4D53"/>
    <w:rsid w:val="269D4D1C"/>
    <w:rsid w:val="2DA11D21"/>
    <w:rsid w:val="2F6C0A8B"/>
    <w:rsid w:val="316264DB"/>
    <w:rsid w:val="33AC7461"/>
    <w:rsid w:val="4518629D"/>
    <w:rsid w:val="45AD07D9"/>
    <w:rsid w:val="4A184170"/>
    <w:rsid w:val="4B5439E3"/>
    <w:rsid w:val="4EEE5B9F"/>
    <w:rsid w:val="52A21E44"/>
    <w:rsid w:val="56890721"/>
    <w:rsid w:val="5ADC7FBD"/>
    <w:rsid w:val="5DB449D7"/>
    <w:rsid w:val="602303E6"/>
    <w:rsid w:val="6E030276"/>
    <w:rsid w:val="6E6A45E5"/>
    <w:rsid w:val="6EA74152"/>
    <w:rsid w:val="74625354"/>
    <w:rsid w:val="79C142AC"/>
    <w:rsid w:val="7C2C729B"/>
    <w:rsid w:val="7E017C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5"/>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27"/>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6">
    <w:name w:val="heading 5"/>
    <w:basedOn w:val="1"/>
    <w:next w:val="1"/>
    <w:link w:val="28"/>
    <w:qFormat/>
    <w:uiPriority w:val="9"/>
    <w:pPr>
      <w:widowControl/>
      <w:spacing w:before="100" w:beforeAutospacing="1" w:after="100" w:afterAutospacing="1"/>
      <w:jc w:val="left"/>
      <w:outlineLvl w:val="4"/>
    </w:pPr>
    <w:rPr>
      <w:rFonts w:ascii="宋体" w:hAnsi="宋体" w:eastAsia="宋体" w:cs="宋体"/>
      <w:b/>
      <w:bCs/>
      <w:kern w:val="0"/>
      <w:sz w:val="20"/>
      <w:szCs w:val="20"/>
    </w:rPr>
  </w:style>
  <w:style w:type="paragraph" w:styleId="7">
    <w:name w:val="heading 6"/>
    <w:basedOn w:val="1"/>
    <w:next w:val="1"/>
    <w:link w:val="29"/>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20">
    <w:name w:val="Default Paragraph Font"/>
    <w:unhideWhenUsed/>
    <w:qFormat/>
    <w:uiPriority w:val="1"/>
  </w:style>
  <w:style w:type="table" w:default="1" w:styleId="18">
    <w:name w:val="Normal Table"/>
    <w:unhideWhenUsed/>
    <w:qFormat/>
    <w:uiPriority w:val="99"/>
    <w:tblPr>
      <w:tblStyle w:val="18"/>
      <w:tblCellMar>
        <w:top w:w="0" w:type="dxa"/>
        <w:left w:w="108" w:type="dxa"/>
        <w:bottom w:w="0" w:type="dxa"/>
        <w:right w:w="108" w:type="dxa"/>
      </w:tblCellMar>
    </w:tblPr>
  </w:style>
  <w:style w:type="paragraph" w:styleId="8">
    <w:name w:val="Document Map"/>
    <w:basedOn w:val="1"/>
    <w:link w:val="30"/>
    <w:unhideWhenUsed/>
    <w:qFormat/>
    <w:uiPriority w:val="0"/>
    <w:rPr>
      <w:rFonts w:ascii="宋体" w:eastAsia="宋体"/>
      <w:sz w:val="18"/>
      <w:szCs w:val="18"/>
    </w:rPr>
  </w:style>
  <w:style w:type="paragraph" w:styleId="9">
    <w:name w:val="annotation text"/>
    <w:basedOn w:val="1"/>
    <w:link w:val="31"/>
    <w:qFormat/>
    <w:uiPriority w:val="99"/>
    <w:pPr>
      <w:jc w:val="left"/>
    </w:pPr>
    <w:rPr>
      <w:rFonts w:ascii="Times New Roman" w:hAnsi="Times New Roman" w:eastAsia="宋体" w:cs="Times New Roman"/>
      <w:szCs w:val="24"/>
    </w:rPr>
  </w:style>
  <w:style w:type="paragraph" w:styleId="10">
    <w:name w:val="Body Text"/>
    <w:basedOn w:val="1"/>
    <w:next w:val="1"/>
    <w:qFormat/>
    <w:uiPriority w:val="0"/>
    <w:rPr>
      <w:color w:val="FF0000"/>
    </w:rPr>
  </w:style>
  <w:style w:type="paragraph" w:styleId="11">
    <w:name w:val="Balloon Text"/>
    <w:basedOn w:val="1"/>
    <w:link w:val="32"/>
    <w:unhideWhenUsed/>
    <w:qFormat/>
    <w:uiPriority w:val="99"/>
    <w:rPr>
      <w:sz w:val="18"/>
      <w:szCs w:val="18"/>
    </w:rPr>
  </w:style>
  <w:style w:type="paragraph" w:styleId="12">
    <w:name w:val="footer"/>
    <w:basedOn w:val="1"/>
    <w:link w:val="33"/>
    <w:unhideWhenUsed/>
    <w:qFormat/>
    <w:uiPriority w:val="0"/>
    <w:pPr>
      <w:tabs>
        <w:tab w:val="center" w:pos="4153"/>
        <w:tab w:val="right" w:pos="8306"/>
      </w:tabs>
      <w:snapToGrid w:val="0"/>
      <w:jc w:val="left"/>
    </w:pPr>
    <w:rPr>
      <w:sz w:val="18"/>
      <w:szCs w:val="18"/>
    </w:rPr>
  </w:style>
  <w:style w:type="paragraph" w:styleId="13">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9"/>
    <w:next w:val="9"/>
    <w:link w:val="35"/>
    <w:unhideWhenUsed/>
    <w:qFormat/>
    <w:uiPriority w:val="99"/>
    <w:rPr>
      <w:rFonts w:ascii="Calibri" w:hAnsi="Calibri" w:eastAsia="宋体" w:cs="Times New Roman"/>
      <w:b/>
      <w:bCs/>
      <w:szCs w:val="22"/>
    </w:rPr>
  </w:style>
  <w:style w:type="table" w:styleId="19">
    <w:name w:val="Table Grid"/>
    <w:basedOn w:val="18"/>
    <w:qFormat/>
    <w:uiPriority w:val="0"/>
    <w:pPr>
      <w:widowControl w:val="0"/>
      <w:jc w:val="both"/>
    </w:pPr>
    <w:rPr>
      <w:rFonts w:ascii="Times New Roman" w:hAnsi="Times New Roman" w:eastAsia="宋体" w:cs="Times New Roman"/>
    </w:r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Hyperlink"/>
    <w:basedOn w:val="20"/>
    <w:unhideWhenUsed/>
    <w:qFormat/>
    <w:uiPriority w:val="99"/>
    <w:rPr>
      <w:color w:val="0000FF"/>
      <w:u w:val="single"/>
    </w:rPr>
  </w:style>
  <w:style w:type="character" w:styleId="23">
    <w:name w:val="annotation reference"/>
    <w:qFormat/>
    <w:uiPriority w:val="99"/>
    <w:rPr>
      <w:sz w:val="21"/>
      <w:szCs w:val="21"/>
    </w:rPr>
  </w:style>
  <w:style w:type="character" w:customStyle="1" w:styleId="24">
    <w:name w:val="标题 1 Char"/>
    <w:basedOn w:val="20"/>
    <w:link w:val="2"/>
    <w:qFormat/>
    <w:uiPriority w:val="9"/>
    <w:rPr>
      <w:rFonts w:ascii="宋体" w:hAnsi="宋体" w:eastAsia="宋体" w:cs="宋体"/>
      <w:b/>
      <w:bCs/>
      <w:kern w:val="36"/>
      <w:sz w:val="48"/>
      <w:szCs w:val="48"/>
    </w:rPr>
  </w:style>
  <w:style w:type="character" w:customStyle="1" w:styleId="25">
    <w:name w:val="标题 2 Char"/>
    <w:basedOn w:val="20"/>
    <w:link w:val="3"/>
    <w:qFormat/>
    <w:uiPriority w:val="9"/>
    <w:rPr>
      <w:rFonts w:ascii="Cambria" w:hAnsi="Cambria" w:eastAsia="宋体" w:cs="Times New Roman"/>
      <w:b/>
      <w:bCs/>
      <w:sz w:val="32"/>
      <w:szCs w:val="32"/>
    </w:rPr>
  </w:style>
  <w:style w:type="character" w:customStyle="1" w:styleId="26">
    <w:name w:val="标题 3 Char"/>
    <w:basedOn w:val="20"/>
    <w:link w:val="4"/>
    <w:qFormat/>
    <w:uiPriority w:val="9"/>
    <w:rPr>
      <w:rFonts w:ascii="宋体" w:hAnsi="宋体" w:eastAsia="宋体" w:cs="宋体"/>
      <w:b/>
      <w:bCs/>
      <w:kern w:val="0"/>
      <w:sz w:val="27"/>
      <w:szCs w:val="27"/>
    </w:rPr>
  </w:style>
  <w:style w:type="character" w:customStyle="1" w:styleId="27">
    <w:name w:val="标题 4 Char"/>
    <w:basedOn w:val="20"/>
    <w:link w:val="5"/>
    <w:qFormat/>
    <w:uiPriority w:val="9"/>
    <w:rPr>
      <w:rFonts w:ascii="宋体" w:hAnsi="宋体" w:eastAsia="宋体" w:cs="宋体"/>
      <w:b/>
      <w:bCs/>
      <w:kern w:val="0"/>
      <w:sz w:val="24"/>
      <w:szCs w:val="24"/>
    </w:rPr>
  </w:style>
  <w:style w:type="character" w:customStyle="1" w:styleId="28">
    <w:name w:val="标题 5 Char"/>
    <w:basedOn w:val="20"/>
    <w:link w:val="6"/>
    <w:qFormat/>
    <w:uiPriority w:val="9"/>
    <w:rPr>
      <w:rFonts w:ascii="宋体" w:hAnsi="宋体" w:eastAsia="宋体" w:cs="宋体"/>
      <w:b/>
      <w:bCs/>
      <w:kern w:val="0"/>
      <w:sz w:val="20"/>
      <w:szCs w:val="20"/>
    </w:rPr>
  </w:style>
  <w:style w:type="character" w:customStyle="1" w:styleId="29">
    <w:name w:val="标题 6 Char"/>
    <w:basedOn w:val="20"/>
    <w:link w:val="7"/>
    <w:qFormat/>
    <w:uiPriority w:val="9"/>
    <w:rPr>
      <w:rFonts w:ascii="宋体" w:hAnsi="宋体" w:eastAsia="宋体" w:cs="宋体"/>
      <w:b/>
      <w:bCs/>
      <w:kern w:val="0"/>
      <w:sz w:val="15"/>
      <w:szCs w:val="15"/>
    </w:rPr>
  </w:style>
  <w:style w:type="character" w:customStyle="1" w:styleId="30">
    <w:name w:val="文档结构图 Char"/>
    <w:basedOn w:val="20"/>
    <w:link w:val="8"/>
    <w:qFormat/>
    <w:uiPriority w:val="0"/>
    <w:rPr>
      <w:rFonts w:ascii="宋体" w:eastAsia="宋体"/>
      <w:sz w:val="18"/>
      <w:szCs w:val="18"/>
    </w:rPr>
  </w:style>
  <w:style w:type="character" w:customStyle="1" w:styleId="31">
    <w:name w:val="批注文字 Char"/>
    <w:basedOn w:val="20"/>
    <w:link w:val="9"/>
    <w:qFormat/>
    <w:uiPriority w:val="99"/>
    <w:rPr>
      <w:rFonts w:ascii="Times New Roman" w:hAnsi="Times New Roman" w:eastAsia="宋体" w:cs="Times New Roman"/>
      <w:szCs w:val="24"/>
    </w:rPr>
  </w:style>
  <w:style w:type="character" w:customStyle="1" w:styleId="32">
    <w:name w:val="批注框文本 Char"/>
    <w:basedOn w:val="20"/>
    <w:link w:val="11"/>
    <w:semiHidden/>
    <w:qFormat/>
    <w:uiPriority w:val="99"/>
    <w:rPr>
      <w:sz w:val="18"/>
      <w:szCs w:val="18"/>
    </w:rPr>
  </w:style>
  <w:style w:type="character" w:customStyle="1" w:styleId="33">
    <w:name w:val="页脚 Char"/>
    <w:basedOn w:val="20"/>
    <w:link w:val="12"/>
    <w:qFormat/>
    <w:uiPriority w:val="0"/>
    <w:rPr>
      <w:sz w:val="18"/>
      <w:szCs w:val="18"/>
    </w:rPr>
  </w:style>
  <w:style w:type="character" w:customStyle="1" w:styleId="34">
    <w:name w:val="页眉 Char"/>
    <w:basedOn w:val="20"/>
    <w:link w:val="13"/>
    <w:qFormat/>
    <w:uiPriority w:val="0"/>
    <w:rPr>
      <w:sz w:val="18"/>
      <w:szCs w:val="18"/>
    </w:rPr>
  </w:style>
  <w:style w:type="character" w:customStyle="1" w:styleId="35">
    <w:name w:val="批注主题 Char"/>
    <w:basedOn w:val="31"/>
    <w:link w:val="17"/>
    <w:semiHidden/>
    <w:qFormat/>
    <w:uiPriority w:val="99"/>
    <w:rPr>
      <w:b/>
      <w:bCs/>
      <w:kern w:val="2"/>
      <w:sz w:val="21"/>
      <w:szCs w:val="22"/>
    </w:rPr>
  </w:style>
  <w:style w:type="character" w:customStyle="1" w:styleId="36">
    <w:name w:val="customize__projectname"/>
    <w:basedOn w:val="20"/>
    <w:qFormat/>
    <w:uiPriority w:val="0"/>
  </w:style>
  <w:style w:type="character" w:customStyle="1" w:styleId="37">
    <w:name w:val="customize_recordno"/>
    <w:basedOn w:val="20"/>
    <w:qFormat/>
    <w:uiPriority w:val="0"/>
  </w:style>
  <w:style w:type="character" w:customStyle="1" w:styleId="38">
    <w:name w:val="customize_project_code"/>
    <w:basedOn w:val="20"/>
    <w:qFormat/>
    <w:uiPriority w:val="0"/>
  </w:style>
  <w:style w:type="character" w:customStyle="1" w:styleId="39">
    <w:name w:val="customize_cgr"/>
    <w:basedOn w:val="20"/>
    <w:qFormat/>
    <w:uiPriority w:val="0"/>
  </w:style>
  <w:style w:type="character" w:customStyle="1" w:styleId="40">
    <w:name w:val="customize_agent"/>
    <w:basedOn w:val="20"/>
    <w:qFormat/>
    <w:uiPriority w:val="0"/>
  </w:style>
  <w:style w:type="character" w:customStyle="1" w:styleId="41">
    <w:name w:val="customize_cgrdz"/>
    <w:basedOn w:val="20"/>
    <w:qFormat/>
    <w:uiPriority w:val="0"/>
  </w:style>
  <w:style w:type="character" w:customStyle="1" w:styleId="42">
    <w:name w:val="customize_cgrdh"/>
    <w:basedOn w:val="20"/>
    <w:qFormat/>
    <w:uiPriority w:val="0"/>
  </w:style>
  <w:style w:type="character" w:customStyle="1" w:styleId="43">
    <w:name w:val="customize_agentadd"/>
    <w:basedOn w:val="20"/>
    <w:qFormat/>
    <w:uiPriority w:val="0"/>
  </w:style>
  <w:style w:type="character" w:customStyle="1" w:styleId="44">
    <w:name w:val="customize_agenttel"/>
    <w:basedOn w:val="20"/>
    <w:qFormat/>
    <w:uiPriority w:val="0"/>
  </w:style>
  <w:style w:type="character" w:customStyle="1" w:styleId="45">
    <w:name w:val="editlist"/>
    <w:basedOn w:val="20"/>
    <w:qFormat/>
    <w:uiPriority w:val="0"/>
  </w:style>
  <w:style w:type="character" w:customStyle="1" w:styleId="46">
    <w:name w:val="edittexttarea"/>
    <w:basedOn w:val="20"/>
    <w:qFormat/>
    <w:uiPriority w:val="0"/>
  </w:style>
  <w:style w:type="character" w:customStyle="1" w:styleId="47">
    <w:name w:val="editinput"/>
    <w:basedOn w:val="20"/>
    <w:qFormat/>
    <w:uiPriority w:val="0"/>
  </w:style>
  <w:style w:type="paragraph" w:styleId="48">
    <w:name w:val="List Paragraph"/>
    <w:basedOn w:val="1"/>
    <w:qFormat/>
    <w:uiPriority w:val="34"/>
    <w:pPr>
      <w:ind w:firstLine="420" w:firstLineChars="200"/>
    </w:pPr>
  </w:style>
  <w:style w:type="paragraph" w:customStyle="1" w:styleId="49">
    <w:name w:val="TOC 标题1"/>
    <w:basedOn w:val="2"/>
    <w:next w:val="1"/>
    <w:unhideWhenUsed/>
    <w:qFormat/>
    <w:uiPriority w:val="39"/>
    <w:pPr>
      <w:keepNext/>
      <w:keepLines/>
      <w:spacing w:before="480" w:beforeAutospacing="0" w:after="0" w:afterAutospacing="0" w:line="276" w:lineRule="auto"/>
      <w:outlineLvl w:val="9"/>
    </w:pPr>
    <w:rPr>
      <w:rFonts w:ascii="Cambria" w:hAnsi="Cambria" w:eastAsia="宋体" w:cs="Times New Roman"/>
      <w:color w:val="366091"/>
      <w:kern w:val="0"/>
      <w:sz w:val="28"/>
      <w:szCs w:val="28"/>
    </w:rPr>
  </w:style>
  <w:style w:type="table" w:customStyle="1" w:styleId="50">
    <w:name w:val="网格型1"/>
    <w:basedOn w:val="18"/>
    <w:qFormat/>
    <w:uiPriority w:val="59"/>
    <w:rPr>
      <w:rFonts w:ascii="Calibri" w:hAnsi="Calibri" w:eastAsia="宋体" w:cs="Times New Roman"/>
    </w:rPr>
    <w:tblPr>
      <w:tblStyle w:val="1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1">
    <w:name w:val="网格型31"/>
    <w:basedOn w:val="18"/>
    <w:qFormat/>
    <w:uiPriority w:val="59"/>
    <w:rPr>
      <w:rFonts w:ascii="Calibri" w:hAnsi="Calibri"/>
    </w:rPr>
    <w:tblPr>
      <w:tblStyle w:val="1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2">
    <w:name w:val="网格型4"/>
    <w:basedOn w:val="18"/>
    <w:qFormat/>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col-sm-1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4">
    <w:name w:val="col-sm-6"/>
    <w:basedOn w:val="20"/>
    <w:qFormat/>
    <w:uiPriority w:val="0"/>
  </w:style>
  <w:style w:type="paragraph" w:customStyle="1" w:styleId="55">
    <w:name w:val="null3"/>
    <w:qFormat/>
    <w:uiPriority w:val="0"/>
    <w:rPr>
      <w:rFonts w:hint="eastAsia" w:ascii="Calibri" w:hAnsi="Calibri" w:eastAsia="宋体" w:cs="Times New Roman"/>
      <w:lang w:val="en-US" w:eastAsia="zh-CN" w:bidi="ar-SA"/>
    </w:rPr>
  </w:style>
  <w:style w:type="paragraph" w:customStyle="1" w:styleId="56">
    <w:name w:val="正文（标书标准）"/>
    <w:basedOn w:val="1"/>
    <w:qFormat/>
    <w:uiPriority w:val="0"/>
    <w:pPr>
      <w:spacing w:line="400" w:lineRule="exact"/>
      <w:ind w:firstLine="420" w:firstLineChars="200"/>
    </w:pPr>
    <w:rPr>
      <w:rFonts w:cs="宋体"/>
      <w:bCs/>
      <w:color w:val="000000"/>
      <w:sz w:val="24"/>
    </w:rPr>
  </w:style>
  <w:style w:type="paragraph" w:customStyle="1" w:styleId="57">
    <w:name w:val="Char Char Char Char Char Char Char"/>
    <w:basedOn w:val="1"/>
    <w:qFormat/>
    <w:uiPriority w:val="0"/>
  </w:style>
  <w:style w:type="paragraph" w:customStyle="1" w:styleId="58">
    <w:name w:val="默认"/>
    <w:qFormat/>
    <w:uiPriority w:val="0"/>
    <w:rPr>
      <w:rFonts w:ascii="Helvetica Neue" w:hAnsi="Helvetica Neue" w:eastAsia="Arial Unicode MS" w:cs="Arial Unicode MS"/>
      <w:color w:val="000000"/>
      <w:sz w:val="22"/>
      <w:szCs w:val="22"/>
      <w:lang w:val="zh-CN" w:eastAsia="zh-CN" w:bidi="ar-SA"/>
    </w:rPr>
  </w:style>
  <w:style w:type="paragraph" w:customStyle="1" w:styleId="59">
    <w:name w:val="a"/>
    <w:basedOn w:val="1"/>
    <w:qFormat/>
    <w:uiPriority w:val="0"/>
    <w:pPr>
      <w:widowControl/>
      <w:jc w:val="left"/>
    </w:pPr>
    <w:rPr>
      <w:rFonts w:ascii="宋体" w:hAnsi="宋体" w:cs="宋体"/>
      <w:kern w:val="0"/>
      <w:sz w:val="24"/>
      <w:szCs w:val="20"/>
    </w:rPr>
  </w:style>
  <w:style w:type="paragraph" w:customStyle="1" w:styleId="60">
    <w:name w:val="yhw3"/>
    <w:basedOn w:val="1"/>
    <w:qFormat/>
    <w:uiPriority w:val="0"/>
    <w:pPr>
      <w:ind w:firstLine="64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117</Pages>
  <Words>61997</Words>
  <Characters>63973</Characters>
  <Lines>1</Lines>
  <Paragraphs>1</Paragraphs>
  <TotalTime>47</TotalTime>
  <ScaleCrop>false</ScaleCrop>
  <LinksUpToDate>false</LinksUpToDate>
  <CharactersWithSpaces>65750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2022-04-08T00:36:00Z</dcterms:created>
  <dc:creator>Administrator</dc:creator>
  <cp:lastModifiedBy>向日葵</cp:lastModifiedBy>
  <cp:lastPrinted>2023-08-09T07:51:02Z</cp:lastPrinted>
  <dcterms:modified xsi:type="dcterms:W3CDTF">2023-08-15T01:14:54Z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E84C6B13543C43AEA28D6DECF5494C49_13</vt:lpwstr>
  </property>
</Properties>
</file>